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CCE" w:rsidRPr="002646CF" w:rsidRDefault="007D3CCE" w:rsidP="002646CF">
      <w:pPr>
        <w:ind w:left="18995"/>
        <w:jc w:val="center"/>
        <w:rPr>
          <w:rFonts w:ascii="Times New Roman" w:eastAsia="Calibri" w:hAnsi="Times New Roman"/>
          <w:sz w:val="28"/>
          <w:szCs w:val="28"/>
        </w:rPr>
      </w:pPr>
    </w:p>
    <w:p w:rsidR="00517B58" w:rsidRDefault="00517B58" w:rsidP="002646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8247EE">
        <w:rPr>
          <w:rFonts w:ascii="Times New Roman" w:hAnsi="Times New Roman" w:cs="Times New Roman"/>
          <w:sz w:val="24"/>
          <w:szCs w:val="24"/>
        </w:rPr>
        <w:t>Додаток</w:t>
      </w:r>
      <w:r>
        <w:rPr>
          <w:rFonts w:ascii="Times New Roman" w:hAnsi="Times New Roman" w:cs="Times New Roman"/>
          <w:sz w:val="24"/>
          <w:szCs w:val="24"/>
        </w:rPr>
        <w:t xml:space="preserve">1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Антикорупційної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</w:p>
    <w:p w:rsidR="00517B58" w:rsidRPr="00517B58" w:rsidRDefault="00517B58" w:rsidP="002646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247EE" w:rsidRPr="009C044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на 2023-2025 роки</w:t>
      </w:r>
    </w:p>
    <w:p w:rsidR="002646CF" w:rsidRPr="000E2BA2" w:rsidRDefault="002646CF" w:rsidP="00264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2BA2">
        <w:rPr>
          <w:rFonts w:ascii="Times New Roman" w:hAnsi="Times New Roman" w:cs="Times New Roman"/>
          <w:b/>
          <w:sz w:val="28"/>
          <w:szCs w:val="28"/>
        </w:rPr>
        <w:t>В  И</w:t>
      </w:r>
      <w:proofErr w:type="gramEnd"/>
      <w:r w:rsidRPr="000E2BA2">
        <w:rPr>
          <w:rFonts w:ascii="Times New Roman" w:hAnsi="Times New Roman" w:cs="Times New Roman"/>
          <w:b/>
          <w:sz w:val="28"/>
          <w:szCs w:val="28"/>
        </w:rPr>
        <w:t xml:space="preserve"> Т Я Г</w:t>
      </w:r>
    </w:p>
    <w:p w:rsidR="002646CF" w:rsidRPr="000E2BA2" w:rsidRDefault="00517B58" w:rsidP="00264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0E2BA2" w:rsidRPr="000E2B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2BA2" w:rsidRPr="000E2BA2">
        <w:rPr>
          <w:rFonts w:ascii="Times New Roman" w:hAnsi="Times New Roman" w:cs="Times New Roman"/>
          <w:b/>
          <w:sz w:val="28"/>
          <w:szCs w:val="28"/>
        </w:rPr>
        <w:t>Державної</w:t>
      </w:r>
      <w:proofErr w:type="spellEnd"/>
      <w:proofErr w:type="gramEnd"/>
      <w:r w:rsidR="000E2BA2" w:rsidRPr="000E2B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2BA2" w:rsidRPr="000E2BA2">
        <w:rPr>
          <w:rFonts w:ascii="Times New Roman" w:hAnsi="Times New Roman" w:cs="Times New Roman"/>
          <w:b/>
          <w:sz w:val="28"/>
          <w:szCs w:val="28"/>
        </w:rPr>
        <w:t>а</w:t>
      </w:r>
      <w:r w:rsidR="002646CF" w:rsidRPr="000E2BA2">
        <w:rPr>
          <w:rFonts w:ascii="Times New Roman" w:hAnsi="Times New Roman" w:cs="Times New Roman"/>
          <w:b/>
          <w:sz w:val="28"/>
          <w:szCs w:val="28"/>
        </w:rPr>
        <w:t>нтикорупційної</w:t>
      </w:r>
      <w:proofErr w:type="spellEnd"/>
      <w:r w:rsidR="002646CF" w:rsidRPr="000E2B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46CF" w:rsidRPr="000E2BA2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="002646CF" w:rsidRPr="000E2BA2">
        <w:rPr>
          <w:rFonts w:ascii="Times New Roman" w:hAnsi="Times New Roman" w:cs="Times New Roman"/>
          <w:b/>
          <w:sz w:val="28"/>
          <w:szCs w:val="28"/>
        </w:rPr>
        <w:t xml:space="preserve"> на 2023-2025 роки,</w:t>
      </w:r>
    </w:p>
    <w:p w:rsidR="002646CF" w:rsidRDefault="002646CF" w:rsidP="00264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BA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0E2BA2">
        <w:rPr>
          <w:rFonts w:ascii="Times New Roman" w:hAnsi="Times New Roman" w:cs="Times New Roman"/>
          <w:b/>
          <w:sz w:val="28"/>
          <w:szCs w:val="28"/>
        </w:rPr>
        <w:t>частині</w:t>
      </w:r>
      <w:proofErr w:type="spellEnd"/>
      <w:r w:rsidRPr="000E2B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2BA2" w:rsidRPr="000E2BA2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="000E2BA2" w:rsidRPr="000E2BA2">
        <w:rPr>
          <w:rFonts w:ascii="Times New Roman" w:hAnsi="Times New Roman" w:cs="Times New Roman"/>
          <w:b/>
          <w:sz w:val="28"/>
          <w:szCs w:val="28"/>
        </w:rPr>
        <w:t xml:space="preserve">, де </w:t>
      </w:r>
      <w:proofErr w:type="spellStart"/>
      <w:r w:rsidR="000E2BA2" w:rsidRPr="000E2BA2">
        <w:rPr>
          <w:rFonts w:ascii="Times New Roman" w:hAnsi="Times New Roman" w:cs="Times New Roman"/>
          <w:b/>
          <w:sz w:val="28"/>
          <w:szCs w:val="28"/>
        </w:rPr>
        <w:t>облдержадміністрація</w:t>
      </w:r>
      <w:proofErr w:type="spellEnd"/>
      <w:r w:rsidR="000E2BA2" w:rsidRPr="000E2BA2">
        <w:rPr>
          <w:rFonts w:ascii="Times New Roman" w:hAnsi="Times New Roman" w:cs="Times New Roman"/>
          <w:b/>
          <w:sz w:val="28"/>
          <w:szCs w:val="28"/>
        </w:rPr>
        <w:t xml:space="preserve"> є </w:t>
      </w:r>
      <w:proofErr w:type="spellStart"/>
      <w:r w:rsidR="00236624">
        <w:rPr>
          <w:rFonts w:ascii="Times New Roman" w:hAnsi="Times New Roman" w:cs="Times New Roman"/>
          <w:b/>
          <w:sz w:val="28"/>
          <w:szCs w:val="28"/>
        </w:rPr>
        <w:t>виконавцем</w:t>
      </w:r>
      <w:proofErr w:type="spellEnd"/>
      <w:r w:rsidR="0023662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0E2BA2" w:rsidRPr="000E2BA2">
        <w:rPr>
          <w:rFonts w:ascii="Times New Roman" w:hAnsi="Times New Roman" w:cs="Times New Roman"/>
          <w:b/>
          <w:sz w:val="28"/>
          <w:szCs w:val="28"/>
        </w:rPr>
        <w:t>співвиконавцем</w:t>
      </w:r>
      <w:proofErr w:type="spellEnd"/>
      <w:r w:rsidR="00236624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="00236624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="0023662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36624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="00236624">
        <w:rPr>
          <w:rFonts w:ascii="Times New Roman" w:hAnsi="Times New Roman" w:cs="Times New Roman"/>
          <w:b/>
          <w:sz w:val="28"/>
          <w:szCs w:val="28"/>
        </w:rPr>
        <w:t xml:space="preserve"> внесено</w:t>
      </w:r>
    </w:p>
    <w:p w:rsidR="00236624" w:rsidRPr="000E2BA2" w:rsidRDefault="00236624" w:rsidP="00264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Інформаційної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системи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моніторингу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антикорупційної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політики</w:t>
      </w:r>
      <w:proofErr w:type="spellEnd"/>
    </w:p>
    <w:p w:rsidR="002646CF" w:rsidRPr="000E2BA2" w:rsidRDefault="002646CF" w:rsidP="002646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71"/>
        <w:gridCol w:w="1218"/>
        <w:gridCol w:w="1196"/>
        <w:gridCol w:w="1383"/>
        <w:gridCol w:w="1752"/>
        <w:gridCol w:w="1922"/>
        <w:gridCol w:w="1929"/>
        <w:gridCol w:w="1399"/>
      </w:tblGrid>
      <w:tr w:rsidR="002646CF" w:rsidRPr="00123A70" w:rsidTr="00A75AFF">
        <w:trPr>
          <w:trHeight w:val="479"/>
          <w:tblHeader/>
        </w:trPr>
        <w:tc>
          <w:tcPr>
            <w:tcW w:w="57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CF" w:rsidRPr="00123A70" w:rsidRDefault="002646CF" w:rsidP="00A75AFF">
            <w:pPr>
              <w:spacing w:before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</w:rPr>
              <w:t>Найменування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</w:rPr>
              <w:t xml:space="preserve"> та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</w:rPr>
              <w:t>зміст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CF" w:rsidRPr="00123A70" w:rsidRDefault="002646CF" w:rsidP="00A75AFF">
            <w:pPr>
              <w:spacing w:before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23A70">
              <w:rPr>
                <w:rFonts w:ascii="Times New Roman" w:eastAsia="Calibri" w:hAnsi="Times New Roman"/>
                <w:sz w:val="24"/>
                <w:szCs w:val="24"/>
              </w:rPr>
              <w:t xml:space="preserve">Строки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CF" w:rsidRPr="00123A70" w:rsidRDefault="002646CF" w:rsidP="00A75AFF">
            <w:pPr>
              <w:spacing w:before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</w:rPr>
              <w:t>Виконавці</w:t>
            </w:r>
            <w:proofErr w:type="spellEnd"/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CF" w:rsidRPr="00123A70" w:rsidRDefault="002646CF" w:rsidP="00A75AFF">
            <w:pPr>
              <w:spacing w:before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</w:rPr>
              <w:t>Фінансові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</w:rPr>
              <w:t>ресурси</w:t>
            </w:r>
            <w:proofErr w:type="spellEnd"/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CF" w:rsidRPr="00123A70" w:rsidRDefault="002646CF" w:rsidP="00A75AFF">
            <w:pPr>
              <w:spacing w:before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</w:rPr>
              <w:t>Показник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</w:rPr>
              <w:t>індикатор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</w:rPr>
              <w:t xml:space="preserve">)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6CF" w:rsidRPr="00123A70" w:rsidRDefault="002646CF" w:rsidP="00A75AFF">
            <w:pPr>
              <w:spacing w:before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</w:rPr>
              <w:t>Джерело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</w:rPr>
              <w:t>даних</w:t>
            </w:r>
            <w:proofErr w:type="spellEnd"/>
          </w:p>
        </w:tc>
      </w:tr>
      <w:tr w:rsidR="002646CF" w:rsidRPr="00123A70" w:rsidTr="00A75AFF">
        <w:trPr>
          <w:trHeight w:val="473"/>
          <w:tblHeader/>
        </w:trPr>
        <w:tc>
          <w:tcPr>
            <w:tcW w:w="57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CF" w:rsidRPr="00123A70" w:rsidRDefault="002646CF" w:rsidP="00A75AF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CF" w:rsidRPr="00123A70" w:rsidRDefault="002646CF" w:rsidP="00A75AFF">
            <w:pPr>
              <w:spacing w:before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23A70">
              <w:rPr>
                <w:rFonts w:ascii="Times New Roman" w:eastAsia="Calibri" w:hAnsi="Times New Roman"/>
                <w:sz w:val="24"/>
                <w:szCs w:val="24"/>
              </w:rPr>
              <w:t>дата початку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CF" w:rsidRPr="00123A70" w:rsidRDefault="002646CF" w:rsidP="00A75AFF">
            <w:pPr>
              <w:spacing w:before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23A70">
              <w:rPr>
                <w:rFonts w:ascii="Times New Roman" w:eastAsia="Calibri" w:hAnsi="Times New Roman"/>
                <w:sz w:val="24"/>
                <w:szCs w:val="24"/>
              </w:rPr>
              <w:t xml:space="preserve">дата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</w:rPr>
              <w:t>завершення</w:t>
            </w:r>
            <w:proofErr w:type="spellEnd"/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CF" w:rsidRPr="00123A70" w:rsidRDefault="002646CF" w:rsidP="00A75AF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CF" w:rsidRPr="00123A70" w:rsidRDefault="002646CF" w:rsidP="00A75AFF">
            <w:pPr>
              <w:spacing w:before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</w:rPr>
              <w:t>джерела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CF" w:rsidRPr="00123A70" w:rsidRDefault="002646CF" w:rsidP="00A75AFF">
            <w:pPr>
              <w:spacing w:before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</w:rPr>
              <w:t>обсяги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</w:rPr>
              <w:t>фінансування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2646CF" w:rsidRPr="00123A70" w:rsidRDefault="002646CF" w:rsidP="00A75AFF">
            <w:pPr>
              <w:spacing w:after="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23A70">
              <w:rPr>
                <w:rFonts w:ascii="Times New Roman" w:eastAsia="Calibri" w:hAnsi="Times New Roman"/>
                <w:sz w:val="24"/>
                <w:szCs w:val="24"/>
              </w:rPr>
              <w:t xml:space="preserve">тис.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</w:rPr>
              <w:t>гривень</w:t>
            </w:r>
            <w:proofErr w:type="spellEnd"/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CF" w:rsidRPr="00123A70" w:rsidRDefault="002646CF" w:rsidP="00A75AF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6CF" w:rsidRPr="00123A70" w:rsidRDefault="002646CF" w:rsidP="00A75AF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646CF" w:rsidRPr="009C044B" w:rsidRDefault="002646CF" w:rsidP="007D3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71"/>
        <w:gridCol w:w="1218"/>
        <w:gridCol w:w="1196"/>
        <w:gridCol w:w="1396"/>
        <w:gridCol w:w="1747"/>
        <w:gridCol w:w="1899"/>
        <w:gridCol w:w="1944"/>
        <w:gridCol w:w="1399"/>
      </w:tblGrid>
      <w:tr w:rsidR="009C044B" w:rsidTr="009C044B">
        <w:trPr>
          <w:trHeight w:val="230"/>
        </w:trPr>
        <w:tc>
          <w:tcPr>
            <w:tcW w:w="3771" w:type="dxa"/>
            <w:hideMark/>
          </w:tcPr>
          <w:p w:rsidR="009C044B" w:rsidRPr="009C044B" w:rsidRDefault="009C044B">
            <w:pPr>
              <w:spacing w:before="60"/>
              <w:rPr>
                <w:rFonts w:ascii="Times New Roman" w:eastAsia="Calibri" w:hAnsi="Times New Roman"/>
                <w:sz w:val="24"/>
                <w:szCs w:val="24"/>
              </w:rPr>
            </w:pPr>
            <w:r w:rsidRPr="009C044B">
              <w:rPr>
                <w:rFonts w:ascii="Times New Roman" w:eastAsia="Calibri" w:hAnsi="Times New Roman"/>
                <w:sz w:val="24"/>
                <w:szCs w:val="24"/>
              </w:rPr>
              <w:t>2.5.2.1.2. 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Проведення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інвентаризації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та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моніторингу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об’єктів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культурної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спадщини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що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стали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підставою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для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внесення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до Списку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історичних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населених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місць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України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, та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перевірки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наявності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інших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підстав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для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внесення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населених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місць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до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зазначеного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Списку, а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також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актуалізація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документації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необхідної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для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визнання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міста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, селища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чи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села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історичним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місцем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, та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внесення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його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до Списку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історичних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населених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місць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України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зокрема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</w:p>
          <w:p w:rsidR="009C044B" w:rsidRPr="009C044B" w:rsidRDefault="009C044B">
            <w:pPr>
              <w:spacing w:before="60"/>
              <w:rPr>
                <w:rFonts w:ascii="Times New Roman" w:eastAsia="Calibri" w:hAnsi="Times New Roman"/>
                <w:sz w:val="24"/>
                <w:szCs w:val="24"/>
              </w:rPr>
            </w:pPr>
            <w:r w:rsidRPr="009C044B">
              <w:rPr>
                <w:rFonts w:ascii="Times New Roman" w:eastAsia="Calibri" w:hAnsi="Times New Roman"/>
                <w:sz w:val="24"/>
                <w:szCs w:val="24"/>
              </w:rPr>
              <w:t>1) 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проведення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перевірки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наявності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документації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необхідної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для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визнання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міста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, селища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чи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села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історичним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місцем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, та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внесення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його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до Списку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історичних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населених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місць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України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проведення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наповнення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документації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(у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разі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виявлення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неповноти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)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чи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оформлення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створення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)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документації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(у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разі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відсутності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документації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, але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наявності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підстав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для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внесення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міста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, селища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чи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села до Списку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історичних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населених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місць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України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),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оприлюднення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результатів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на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офіційному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веб-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сайті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МКІП;</w:t>
            </w:r>
          </w:p>
          <w:p w:rsidR="009C044B" w:rsidRPr="009C044B" w:rsidRDefault="009C044B">
            <w:pPr>
              <w:spacing w:before="60"/>
              <w:rPr>
                <w:rFonts w:ascii="Times New Roman" w:eastAsia="Calibri" w:hAnsi="Times New Roman"/>
                <w:sz w:val="24"/>
                <w:szCs w:val="24"/>
              </w:rPr>
            </w:pPr>
            <w:r w:rsidRPr="009C044B">
              <w:rPr>
                <w:rFonts w:ascii="Times New Roman" w:eastAsia="Calibri" w:hAnsi="Times New Roman"/>
                <w:sz w:val="24"/>
                <w:szCs w:val="24"/>
              </w:rPr>
              <w:t>2) 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проведення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моніторингу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об’єктів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культурної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спадщини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що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стали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підставою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для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віднесення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населених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пунктів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до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історичних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населених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місць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, та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перевірки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відповідності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населених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пунктів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іншим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критеріям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для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перебування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у Списку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історичних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населених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місць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України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, а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саме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проведено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обстеження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наявності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та стану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об’єктів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культурної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спадщини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складено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акт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візуального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обстеження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за формою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згідно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з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додатком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6 до Порядку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обліку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об’єктів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культурної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спадщини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затвердженого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наказом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Мінкультури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від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11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березня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2013 р. № 158, –, у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редакції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наказу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Мінкультури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від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27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червня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2019 р. № 501, проведено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перевірку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збереження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розпланування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відповідно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до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минулих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історичних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епох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(до початку ХХ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століття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),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збереження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основних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композиційних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центрів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та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композиційних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осей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населених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місць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збереження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рядової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історичної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забудови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—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із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документуванням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процесу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моніторингу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та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його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результатів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результати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оприлюднено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на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офіційному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веб-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сайті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МКІП;</w:t>
            </w:r>
          </w:p>
          <w:p w:rsidR="009C044B" w:rsidRPr="009C044B" w:rsidRDefault="009C044B">
            <w:pPr>
              <w:spacing w:before="60"/>
              <w:rPr>
                <w:rFonts w:ascii="Times New Roman" w:eastAsia="Calibri" w:hAnsi="Times New Roman"/>
                <w:sz w:val="24"/>
                <w:szCs w:val="24"/>
              </w:rPr>
            </w:pPr>
            <w:r w:rsidRPr="009C044B">
              <w:rPr>
                <w:rFonts w:ascii="Times New Roman" w:eastAsia="Calibri" w:hAnsi="Times New Roman"/>
                <w:sz w:val="24"/>
                <w:szCs w:val="24"/>
              </w:rPr>
              <w:t>3) 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формування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переліку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об’єктів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культурної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спадщини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які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зникли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знищені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зруйновані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)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або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втратили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історичну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культурну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)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цінність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, а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також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перелік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історичних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населених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місць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які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не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відповідають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критеріям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для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перебування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у Списку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історичних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населених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місць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України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результати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оприлюднено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на 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офіційному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веб-</w:t>
            </w:r>
            <w:proofErr w:type="spellStart"/>
            <w:r w:rsidRPr="009C044B">
              <w:rPr>
                <w:rFonts w:ascii="Times New Roman" w:eastAsia="Calibri" w:hAnsi="Times New Roman"/>
                <w:sz w:val="24"/>
                <w:szCs w:val="24"/>
              </w:rPr>
              <w:t>сайті</w:t>
            </w:r>
            <w:proofErr w:type="spellEnd"/>
            <w:r w:rsidRPr="009C044B">
              <w:rPr>
                <w:rFonts w:ascii="Times New Roman" w:eastAsia="Calibri" w:hAnsi="Times New Roman"/>
                <w:sz w:val="24"/>
                <w:szCs w:val="24"/>
              </w:rPr>
              <w:t xml:space="preserve"> МКІП</w:t>
            </w:r>
          </w:p>
        </w:tc>
        <w:tc>
          <w:tcPr>
            <w:tcW w:w="1218" w:type="dxa"/>
            <w:hideMark/>
          </w:tcPr>
          <w:p w:rsidR="009C044B" w:rsidRDefault="009C044B">
            <w:pPr>
              <w:spacing w:before="6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березень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br/>
              <w:t>2023 р.</w:t>
            </w:r>
          </w:p>
        </w:tc>
        <w:tc>
          <w:tcPr>
            <w:tcW w:w="1196" w:type="dxa"/>
            <w:hideMark/>
          </w:tcPr>
          <w:p w:rsidR="009C044B" w:rsidRDefault="009C044B">
            <w:pPr>
              <w:spacing w:before="60"/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серпень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br/>
              <w:t>2023 р.</w:t>
            </w:r>
          </w:p>
        </w:tc>
        <w:tc>
          <w:tcPr>
            <w:tcW w:w="1396" w:type="dxa"/>
            <w:hideMark/>
          </w:tcPr>
          <w:p w:rsidR="009C044B" w:rsidRPr="009C044B" w:rsidRDefault="009C044B">
            <w:pPr>
              <w:spacing w:before="60"/>
              <w:rPr>
                <w:rFonts w:ascii="Times New Roman" w:eastAsia="Calibri" w:hAnsi="Times New Roman"/>
                <w:lang w:eastAsia="uk-UA" w:bidi="uk-UA"/>
              </w:rPr>
            </w:pPr>
            <w:r w:rsidRPr="009C044B">
              <w:rPr>
                <w:rFonts w:ascii="Times New Roman" w:eastAsia="Calibri" w:hAnsi="Times New Roman"/>
                <w:lang w:eastAsia="uk-UA" w:bidi="uk-UA"/>
              </w:rPr>
              <w:t>МКІП</w:t>
            </w:r>
          </w:p>
          <w:p w:rsidR="009C044B" w:rsidRPr="009C044B" w:rsidRDefault="009C044B">
            <w:pPr>
              <w:spacing w:before="60"/>
              <w:rPr>
                <w:rFonts w:ascii="Times New Roman" w:eastAsia="Calibri" w:hAnsi="Times New Roman"/>
                <w:lang w:eastAsia="uk-UA" w:bidi="uk-UA"/>
              </w:rPr>
            </w:pPr>
            <w:r w:rsidRPr="009C044B">
              <w:rPr>
                <w:rFonts w:ascii="Times New Roman" w:eastAsia="Calibri" w:hAnsi="Times New Roman"/>
                <w:lang w:eastAsia="uk-UA" w:bidi="uk-UA"/>
              </w:rPr>
              <w:t xml:space="preserve">Рада </w:t>
            </w:r>
            <w:proofErr w:type="spellStart"/>
            <w:r w:rsidRPr="009C044B">
              <w:rPr>
                <w:rFonts w:ascii="Times New Roman" w:eastAsia="Calibri" w:hAnsi="Times New Roman"/>
                <w:lang w:eastAsia="uk-UA" w:bidi="uk-UA"/>
              </w:rPr>
              <w:t>міністрів</w:t>
            </w:r>
            <w:proofErr w:type="spellEnd"/>
            <w:r w:rsidRPr="009C044B">
              <w:rPr>
                <w:rFonts w:ascii="Times New Roman" w:eastAsia="Calibri" w:hAnsi="Times New Roman"/>
                <w:lang w:eastAsia="uk-UA" w:bidi="uk-UA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lang w:eastAsia="uk-UA" w:bidi="uk-UA"/>
              </w:rPr>
              <w:t>Автономної</w:t>
            </w:r>
            <w:proofErr w:type="spellEnd"/>
            <w:r w:rsidRPr="009C044B">
              <w:rPr>
                <w:rFonts w:ascii="Times New Roman" w:eastAsia="Calibri" w:hAnsi="Times New Roman"/>
                <w:lang w:eastAsia="uk-UA" w:bidi="uk-UA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lang w:eastAsia="uk-UA" w:bidi="uk-UA"/>
              </w:rPr>
              <w:t>Республіки</w:t>
            </w:r>
            <w:proofErr w:type="spellEnd"/>
            <w:r w:rsidRPr="009C044B">
              <w:rPr>
                <w:rFonts w:ascii="Times New Roman" w:eastAsia="Calibri" w:hAnsi="Times New Roman"/>
                <w:lang w:eastAsia="uk-UA" w:bidi="uk-UA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lang w:eastAsia="uk-UA" w:bidi="uk-UA"/>
              </w:rPr>
              <w:t>Крим</w:t>
            </w:r>
            <w:proofErr w:type="spellEnd"/>
          </w:p>
          <w:p w:rsidR="009C044B" w:rsidRPr="009C044B" w:rsidRDefault="009C044B">
            <w:pPr>
              <w:spacing w:before="60"/>
              <w:rPr>
                <w:rFonts w:ascii="Times New Roman" w:eastAsia="Calibri" w:hAnsi="Times New Roman"/>
                <w:lang w:eastAsia="uk-UA" w:bidi="uk-UA"/>
              </w:rPr>
            </w:pPr>
            <w:proofErr w:type="spellStart"/>
            <w:r w:rsidRPr="009C044B">
              <w:rPr>
                <w:rFonts w:ascii="Times New Roman" w:eastAsia="Calibri" w:hAnsi="Times New Roman"/>
                <w:lang w:eastAsia="uk-UA" w:bidi="uk-UA"/>
              </w:rPr>
              <w:t>обласні</w:t>
            </w:r>
            <w:proofErr w:type="spellEnd"/>
            <w:r w:rsidRPr="009C044B">
              <w:rPr>
                <w:rFonts w:ascii="Times New Roman" w:eastAsia="Calibri" w:hAnsi="Times New Roman"/>
                <w:lang w:eastAsia="uk-UA" w:bidi="uk-UA"/>
              </w:rPr>
              <w:t xml:space="preserve">, </w:t>
            </w:r>
            <w:proofErr w:type="spellStart"/>
            <w:r w:rsidRPr="009C044B">
              <w:rPr>
                <w:rFonts w:ascii="Times New Roman" w:eastAsia="Calibri" w:hAnsi="Times New Roman"/>
                <w:lang w:eastAsia="uk-UA" w:bidi="uk-UA"/>
              </w:rPr>
              <w:t>Київська</w:t>
            </w:r>
            <w:proofErr w:type="spellEnd"/>
            <w:r w:rsidRPr="009C044B">
              <w:rPr>
                <w:rFonts w:ascii="Times New Roman" w:eastAsia="Calibri" w:hAnsi="Times New Roman"/>
                <w:lang w:eastAsia="uk-UA" w:bidi="uk-UA"/>
              </w:rPr>
              <w:t xml:space="preserve"> та </w:t>
            </w:r>
            <w:proofErr w:type="spellStart"/>
            <w:r w:rsidRPr="009C044B">
              <w:rPr>
                <w:rFonts w:ascii="Times New Roman" w:eastAsia="Calibri" w:hAnsi="Times New Roman"/>
                <w:lang w:eastAsia="uk-UA" w:bidi="uk-UA"/>
              </w:rPr>
              <w:t>Севасто-польська</w:t>
            </w:r>
            <w:proofErr w:type="spellEnd"/>
            <w:r w:rsidRPr="009C044B">
              <w:rPr>
                <w:rFonts w:ascii="Times New Roman" w:eastAsia="Calibri" w:hAnsi="Times New Roman"/>
                <w:lang w:eastAsia="uk-UA" w:bidi="uk-UA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lang w:eastAsia="uk-UA" w:bidi="uk-UA"/>
              </w:rPr>
              <w:t>міські</w:t>
            </w:r>
            <w:proofErr w:type="spellEnd"/>
            <w:r w:rsidRPr="009C044B">
              <w:rPr>
                <w:rFonts w:ascii="Times New Roman" w:eastAsia="Calibri" w:hAnsi="Times New Roman"/>
                <w:lang w:eastAsia="uk-UA" w:bidi="uk-UA"/>
              </w:rPr>
              <w:t xml:space="preserve"> </w:t>
            </w:r>
            <w:proofErr w:type="spellStart"/>
            <w:r w:rsidRPr="009C044B">
              <w:rPr>
                <w:rFonts w:ascii="Times New Roman" w:eastAsia="Calibri" w:hAnsi="Times New Roman"/>
                <w:lang w:eastAsia="uk-UA" w:bidi="uk-UA"/>
              </w:rPr>
              <w:t>держадмініст-рації</w:t>
            </w:r>
            <w:proofErr w:type="spellEnd"/>
          </w:p>
        </w:tc>
        <w:tc>
          <w:tcPr>
            <w:tcW w:w="1747" w:type="dxa"/>
            <w:hideMark/>
          </w:tcPr>
          <w:p w:rsidR="009C044B" w:rsidRDefault="009C044B">
            <w:pPr>
              <w:spacing w:before="60"/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державний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бюджет</w:t>
            </w:r>
          </w:p>
        </w:tc>
        <w:tc>
          <w:tcPr>
            <w:tcW w:w="1899" w:type="dxa"/>
            <w:hideMark/>
          </w:tcPr>
          <w:p w:rsidR="009C044B" w:rsidRDefault="009C044B">
            <w:pPr>
              <w:spacing w:before="60"/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у межах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встановлених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бюджетних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призначень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відповідний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рік</w:t>
            </w:r>
            <w:proofErr w:type="spellEnd"/>
          </w:p>
        </w:tc>
        <w:tc>
          <w:tcPr>
            <w:tcW w:w="1944" w:type="dxa"/>
            <w:hideMark/>
          </w:tcPr>
          <w:p w:rsidR="009C044B" w:rsidRDefault="009C044B">
            <w:pPr>
              <w:spacing w:before="60"/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проведено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інвентаризацію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моніторинг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об’єктів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культурної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спадщини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що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стали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підставою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внесення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до Списку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історичних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населених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місць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України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здійснено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актуалізацію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облікової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документації</w:t>
            </w:r>
            <w:proofErr w:type="spellEnd"/>
          </w:p>
        </w:tc>
        <w:tc>
          <w:tcPr>
            <w:tcW w:w="1399" w:type="dxa"/>
            <w:hideMark/>
          </w:tcPr>
          <w:p w:rsidR="009C044B" w:rsidRDefault="009C044B">
            <w:pPr>
              <w:spacing w:before="60"/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офіційний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веб-сайт МКІП</w:t>
            </w:r>
          </w:p>
        </w:tc>
      </w:tr>
      <w:tr w:rsidR="002646CF" w:rsidRPr="00123A70" w:rsidTr="00517B58">
        <w:trPr>
          <w:trHeight w:val="230"/>
        </w:trPr>
        <w:tc>
          <w:tcPr>
            <w:tcW w:w="3771" w:type="dxa"/>
            <w:hideMark/>
          </w:tcPr>
          <w:p w:rsidR="002646CF" w:rsidRPr="002646CF" w:rsidRDefault="002646CF" w:rsidP="00A75AFF">
            <w:pPr>
              <w:spacing w:before="60"/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</w:pPr>
            <w:r w:rsidRPr="002646CF">
              <w:rPr>
                <w:rFonts w:ascii="Times New Roman" w:eastAsia="Calibri" w:hAnsi="Times New Roman"/>
                <w:b/>
                <w:sz w:val="24"/>
                <w:szCs w:val="24"/>
              </w:rPr>
              <w:t>2.5.2.1.7</w:t>
            </w:r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. Проведено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інвентаризацію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та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моніторинг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об’єктів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культурної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спадщини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для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створення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повного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та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єдиного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електронного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реєстру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об’єктів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культурної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спадщини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зокрема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:</w:t>
            </w:r>
          </w:p>
          <w:p w:rsidR="002646CF" w:rsidRPr="002646CF" w:rsidRDefault="002646CF" w:rsidP="00A75AFF">
            <w:pPr>
              <w:spacing w:before="60"/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</w:pPr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1) проведено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інвентаризацію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об’єктів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культурної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спадщини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національного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та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місцевого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значення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що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внесені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до Державного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реєстру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нерухомих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пам’яток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України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(з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підготовкою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документів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для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виключення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частини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об’єктів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за результатами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інвентаризації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),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актуалізацію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та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інвентаризацію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облікової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документації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на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об’єкти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культурної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спадщини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зокрема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забезпечено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формування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облікової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документації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на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щойно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lastRenderedPageBreak/>
              <w:t>виявлені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об’єкти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та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об’єкти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взяті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на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державний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облік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відповідно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до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законодавства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що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діяло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до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набрання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чинності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Законом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України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r w:rsidRPr="002646CF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Про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охорону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культурної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спадщини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</w:rPr>
              <w:t>”</w:t>
            </w:r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;</w:t>
            </w:r>
          </w:p>
          <w:p w:rsidR="002646CF" w:rsidRPr="002646CF" w:rsidRDefault="002646CF" w:rsidP="00A75AFF">
            <w:pPr>
              <w:spacing w:before="60"/>
              <w:rPr>
                <w:rFonts w:ascii="Times New Roman" w:eastAsia="Calibri" w:hAnsi="Times New Roman"/>
                <w:bCs/>
                <w:sz w:val="24"/>
                <w:szCs w:val="24"/>
                <w:lang w:eastAsia="uk-UA" w:bidi="uk-UA"/>
              </w:rPr>
            </w:pPr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2) 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забезпечено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оцифрування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та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оприлюднення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масиву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облікової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документації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на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кожен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об’єкт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культурної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спадщини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, внесений до Державного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реєстру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нерухомих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пам’яток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України</w:t>
            </w:r>
            <w:proofErr w:type="spellEnd"/>
          </w:p>
        </w:tc>
        <w:tc>
          <w:tcPr>
            <w:tcW w:w="1218" w:type="dxa"/>
            <w:hideMark/>
          </w:tcPr>
          <w:p w:rsidR="002646CF" w:rsidRPr="002646CF" w:rsidRDefault="002646CF" w:rsidP="00A75AFF">
            <w:pPr>
              <w:spacing w:before="60"/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</w:pP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березень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</w:rPr>
              <w:br/>
              <w:t>2023 р.</w:t>
            </w:r>
          </w:p>
        </w:tc>
        <w:tc>
          <w:tcPr>
            <w:tcW w:w="1196" w:type="dxa"/>
            <w:hideMark/>
          </w:tcPr>
          <w:p w:rsidR="002646CF" w:rsidRPr="002646CF" w:rsidRDefault="002646CF" w:rsidP="00A75AFF">
            <w:pPr>
              <w:spacing w:before="60"/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</w:pP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грудень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br/>
              <w:t>2023 р.</w:t>
            </w:r>
          </w:p>
        </w:tc>
        <w:tc>
          <w:tcPr>
            <w:tcW w:w="1396" w:type="dxa"/>
            <w:hideMark/>
          </w:tcPr>
          <w:p w:rsidR="002646CF" w:rsidRPr="00236624" w:rsidRDefault="002646CF" w:rsidP="00A75AFF">
            <w:pPr>
              <w:spacing w:before="60"/>
              <w:rPr>
                <w:rFonts w:ascii="Times New Roman" w:eastAsia="Calibri" w:hAnsi="Times New Roman"/>
                <w:lang w:eastAsia="uk-UA" w:bidi="uk-UA"/>
              </w:rPr>
            </w:pPr>
            <w:r w:rsidRPr="00236624">
              <w:rPr>
                <w:rFonts w:ascii="Times New Roman" w:eastAsia="Calibri" w:hAnsi="Times New Roman"/>
                <w:lang w:eastAsia="uk-UA" w:bidi="uk-UA"/>
              </w:rPr>
              <w:t>МКІП</w:t>
            </w:r>
          </w:p>
          <w:p w:rsidR="002646CF" w:rsidRPr="00236624" w:rsidRDefault="002646CF" w:rsidP="00A75AFF">
            <w:pPr>
              <w:spacing w:before="60"/>
              <w:rPr>
                <w:rFonts w:ascii="Times New Roman" w:eastAsia="Calibri" w:hAnsi="Times New Roman"/>
                <w:lang w:eastAsia="uk-UA" w:bidi="uk-UA"/>
              </w:rPr>
            </w:pPr>
            <w:r w:rsidRPr="00236624">
              <w:rPr>
                <w:rFonts w:ascii="Times New Roman" w:eastAsia="Calibri" w:hAnsi="Times New Roman"/>
                <w:lang w:eastAsia="uk-UA" w:bidi="uk-UA"/>
              </w:rPr>
              <w:t xml:space="preserve">Рада </w:t>
            </w:r>
            <w:proofErr w:type="spellStart"/>
            <w:r w:rsidRPr="00236624">
              <w:rPr>
                <w:rFonts w:ascii="Times New Roman" w:eastAsia="Calibri" w:hAnsi="Times New Roman"/>
                <w:lang w:eastAsia="uk-UA" w:bidi="uk-UA"/>
              </w:rPr>
              <w:t>міністрів</w:t>
            </w:r>
            <w:proofErr w:type="spellEnd"/>
            <w:r w:rsidRPr="00236624">
              <w:rPr>
                <w:rFonts w:ascii="Times New Roman" w:eastAsia="Calibri" w:hAnsi="Times New Roman"/>
                <w:lang w:eastAsia="uk-UA" w:bidi="uk-UA"/>
              </w:rPr>
              <w:t xml:space="preserve"> </w:t>
            </w:r>
            <w:proofErr w:type="spellStart"/>
            <w:r w:rsidRPr="00236624">
              <w:rPr>
                <w:rFonts w:ascii="Times New Roman" w:eastAsia="Calibri" w:hAnsi="Times New Roman"/>
                <w:lang w:eastAsia="uk-UA" w:bidi="uk-UA"/>
              </w:rPr>
              <w:t>Автономної</w:t>
            </w:r>
            <w:proofErr w:type="spellEnd"/>
            <w:r w:rsidRPr="00236624">
              <w:rPr>
                <w:rFonts w:ascii="Times New Roman" w:eastAsia="Calibri" w:hAnsi="Times New Roman"/>
                <w:lang w:eastAsia="uk-UA" w:bidi="uk-UA"/>
              </w:rPr>
              <w:t xml:space="preserve"> </w:t>
            </w:r>
            <w:proofErr w:type="spellStart"/>
            <w:r w:rsidRPr="00236624">
              <w:rPr>
                <w:rFonts w:ascii="Times New Roman" w:eastAsia="Calibri" w:hAnsi="Times New Roman"/>
                <w:lang w:eastAsia="uk-UA" w:bidi="uk-UA"/>
              </w:rPr>
              <w:t>Республіки</w:t>
            </w:r>
            <w:proofErr w:type="spellEnd"/>
            <w:r w:rsidRPr="00236624">
              <w:rPr>
                <w:rFonts w:ascii="Times New Roman" w:eastAsia="Calibri" w:hAnsi="Times New Roman"/>
                <w:lang w:eastAsia="uk-UA" w:bidi="uk-UA"/>
              </w:rPr>
              <w:t xml:space="preserve"> </w:t>
            </w:r>
            <w:proofErr w:type="spellStart"/>
            <w:r w:rsidRPr="00236624">
              <w:rPr>
                <w:rFonts w:ascii="Times New Roman" w:eastAsia="Calibri" w:hAnsi="Times New Roman"/>
                <w:lang w:eastAsia="uk-UA" w:bidi="uk-UA"/>
              </w:rPr>
              <w:t>Крим</w:t>
            </w:r>
            <w:proofErr w:type="spellEnd"/>
          </w:p>
          <w:p w:rsidR="002646CF" w:rsidRPr="002646CF" w:rsidRDefault="002646CF" w:rsidP="00A75AFF">
            <w:pPr>
              <w:spacing w:before="60"/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</w:pPr>
            <w:proofErr w:type="spellStart"/>
            <w:r w:rsidRPr="00236624">
              <w:rPr>
                <w:rFonts w:ascii="Times New Roman" w:eastAsia="Calibri" w:hAnsi="Times New Roman"/>
                <w:lang w:eastAsia="uk-UA" w:bidi="uk-UA"/>
              </w:rPr>
              <w:t>обласні</w:t>
            </w:r>
            <w:proofErr w:type="spellEnd"/>
            <w:r w:rsidRPr="00236624">
              <w:rPr>
                <w:rFonts w:ascii="Times New Roman" w:eastAsia="Calibri" w:hAnsi="Times New Roman"/>
                <w:lang w:eastAsia="uk-UA" w:bidi="uk-UA"/>
              </w:rPr>
              <w:t xml:space="preserve"> </w:t>
            </w:r>
            <w:proofErr w:type="spellStart"/>
            <w:r w:rsidRPr="00236624">
              <w:rPr>
                <w:rFonts w:ascii="Times New Roman" w:eastAsia="Calibri" w:hAnsi="Times New Roman"/>
                <w:lang w:eastAsia="uk-UA" w:bidi="uk-UA"/>
              </w:rPr>
              <w:t>Київська</w:t>
            </w:r>
            <w:proofErr w:type="spellEnd"/>
            <w:r w:rsidRPr="00236624">
              <w:rPr>
                <w:rFonts w:ascii="Times New Roman" w:eastAsia="Calibri" w:hAnsi="Times New Roman"/>
                <w:lang w:eastAsia="uk-UA" w:bidi="uk-UA"/>
              </w:rPr>
              <w:t xml:space="preserve"> та Севастополь-</w:t>
            </w:r>
            <w:proofErr w:type="spellStart"/>
            <w:r w:rsidRPr="00236624">
              <w:rPr>
                <w:rFonts w:ascii="Times New Roman" w:eastAsia="Calibri" w:hAnsi="Times New Roman"/>
                <w:lang w:eastAsia="uk-UA" w:bidi="uk-UA"/>
              </w:rPr>
              <w:t>ська</w:t>
            </w:r>
            <w:proofErr w:type="spellEnd"/>
            <w:r w:rsidRPr="00236624">
              <w:rPr>
                <w:rFonts w:ascii="Times New Roman" w:eastAsia="Calibri" w:hAnsi="Times New Roman"/>
                <w:lang w:eastAsia="uk-UA" w:bidi="uk-UA"/>
              </w:rPr>
              <w:t xml:space="preserve"> </w:t>
            </w:r>
            <w:proofErr w:type="spellStart"/>
            <w:r w:rsidRPr="00236624">
              <w:rPr>
                <w:rFonts w:ascii="Times New Roman" w:eastAsia="Calibri" w:hAnsi="Times New Roman"/>
                <w:lang w:eastAsia="uk-UA" w:bidi="uk-UA"/>
              </w:rPr>
              <w:t>міські</w:t>
            </w:r>
            <w:proofErr w:type="spellEnd"/>
            <w:r w:rsidRPr="00236624">
              <w:rPr>
                <w:rFonts w:ascii="Times New Roman" w:eastAsia="Calibri" w:hAnsi="Times New Roman"/>
                <w:lang w:eastAsia="uk-UA" w:bidi="uk-UA"/>
              </w:rPr>
              <w:t xml:space="preserve"> </w:t>
            </w:r>
            <w:proofErr w:type="spellStart"/>
            <w:r w:rsidRPr="00236624">
              <w:rPr>
                <w:rFonts w:ascii="Times New Roman" w:eastAsia="Calibri" w:hAnsi="Times New Roman"/>
                <w:lang w:eastAsia="uk-UA" w:bidi="uk-UA"/>
              </w:rPr>
              <w:t>держ-адміністрації</w:t>
            </w:r>
            <w:proofErr w:type="spellEnd"/>
          </w:p>
        </w:tc>
        <w:tc>
          <w:tcPr>
            <w:tcW w:w="1747" w:type="dxa"/>
            <w:hideMark/>
          </w:tcPr>
          <w:p w:rsidR="002646CF" w:rsidRPr="00123A70" w:rsidRDefault="002646CF" w:rsidP="00A75AFF">
            <w:pPr>
              <w:spacing w:before="60"/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</w:pP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державний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бюджет</w:t>
            </w:r>
          </w:p>
        </w:tc>
        <w:tc>
          <w:tcPr>
            <w:tcW w:w="1899" w:type="dxa"/>
            <w:hideMark/>
          </w:tcPr>
          <w:p w:rsidR="002646CF" w:rsidRPr="00123A70" w:rsidRDefault="002646CF" w:rsidP="00A75AFF">
            <w:pPr>
              <w:spacing w:before="60"/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</w:pPr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у межах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встановлених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бюджетних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призначень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на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відповідний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рік</w:t>
            </w:r>
            <w:proofErr w:type="spellEnd"/>
          </w:p>
        </w:tc>
        <w:tc>
          <w:tcPr>
            <w:tcW w:w="1944" w:type="dxa"/>
            <w:hideMark/>
          </w:tcPr>
          <w:p w:rsidR="002646CF" w:rsidRPr="00123A70" w:rsidRDefault="002646CF" w:rsidP="00A75AFF">
            <w:pPr>
              <w:spacing w:before="60"/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</w:pPr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проведено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інвентаризацію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та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моніторинг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всіх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об’єктів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культурної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спадщини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національного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та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місцевого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значення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, оцифровано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облікову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документацію</w:t>
            </w:r>
            <w:proofErr w:type="spellEnd"/>
          </w:p>
        </w:tc>
        <w:tc>
          <w:tcPr>
            <w:tcW w:w="1399" w:type="dxa"/>
            <w:hideMark/>
          </w:tcPr>
          <w:p w:rsidR="002646CF" w:rsidRPr="00123A70" w:rsidRDefault="002646CF" w:rsidP="00A75AFF">
            <w:pPr>
              <w:spacing w:before="60"/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</w:pP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офіційний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веб-сайт МКІП</w:t>
            </w:r>
          </w:p>
        </w:tc>
      </w:tr>
    </w:tbl>
    <w:p w:rsidR="002646CF" w:rsidRPr="009C044B" w:rsidRDefault="002646CF" w:rsidP="007D3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71"/>
        <w:gridCol w:w="1218"/>
        <w:gridCol w:w="1196"/>
        <w:gridCol w:w="1396"/>
        <w:gridCol w:w="1747"/>
        <w:gridCol w:w="1899"/>
        <w:gridCol w:w="1944"/>
        <w:gridCol w:w="1399"/>
      </w:tblGrid>
      <w:tr w:rsidR="002646CF" w:rsidRPr="00123A70" w:rsidTr="00A75AFF">
        <w:trPr>
          <w:trHeight w:val="230"/>
        </w:trPr>
        <w:tc>
          <w:tcPr>
            <w:tcW w:w="5775" w:type="dxa"/>
            <w:hideMark/>
          </w:tcPr>
          <w:p w:rsidR="002646CF" w:rsidRPr="002646CF" w:rsidRDefault="002646CF" w:rsidP="00A75AFF">
            <w:pPr>
              <w:spacing w:before="60"/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</w:pPr>
            <w:r w:rsidRPr="002646C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2.5.4.4.</w:t>
            </w:r>
            <w:r w:rsidRPr="002646CF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uk-UA" w:bidi="uk-UA"/>
              </w:rPr>
              <w:t>1</w:t>
            </w:r>
            <w:r w:rsidRPr="002646CF">
              <w:rPr>
                <w:rFonts w:ascii="Times New Roman" w:eastAsia="Calibri" w:hAnsi="Times New Roman"/>
                <w:bCs/>
                <w:sz w:val="24"/>
                <w:szCs w:val="24"/>
                <w:lang w:eastAsia="uk-UA" w:bidi="uk-UA"/>
              </w:rPr>
              <w:t>. </w:t>
            </w:r>
            <w:proofErr w:type="spellStart"/>
            <w:r w:rsidRPr="002646CF">
              <w:rPr>
                <w:rFonts w:ascii="Times New Roman" w:eastAsia="Calibri" w:hAnsi="Times New Roman"/>
                <w:bCs/>
                <w:sz w:val="24"/>
                <w:szCs w:val="24"/>
                <w:lang w:eastAsia="uk-UA" w:bidi="uk-UA"/>
              </w:rPr>
              <w:t>Проведення</w:t>
            </w:r>
            <w:proofErr w:type="spellEnd"/>
            <w:r w:rsidRPr="002646CF">
              <w:rPr>
                <w:rFonts w:ascii="Times New Roman" w:eastAsia="Calibri" w:hAnsi="Times New Roman"/>
                <w:bCs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bCs/>
                <w:sz w:val="24"/>
                <w:szCs w:val="24"/>
                <w:lang w:eastAsia="uk-UA" w:bidi="uk-UA"/>
              </w:rPr>
              <w:t>державної</w:t>
            </w:r>
            <w:proofErr w:type="spellEnd"/>
            <w:r w:rsidRPr="002646CF">
              <w:rPr>
                <w:rFonts w:ascii="Times New Roman" w:eastAsia="Calibri" w:hAnsi="Times New Roman"/>
                <w:bCs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bCs/>
                <w:sz w:val="24"/>
                <w:szCs w:val="24"/>
                <w:lang w:eastAsia="uk-UA" w:bidi="uk-UA"/>
              </w:rPr>
              <w:t>інвентаризації</w:t>
            </w:r>
            <w:proofErr w:type="spellEnd"/>
            <w:r w:rsidRPr="002646CF">
              <w:rPr>
                <w:rFonts w:ascii="Times New Roman" w:eastAsia="Calibri" w:hAnsi="Times New Roman"/>
                <w:bCs/>
                <w:sz w:val="24"/>
                <w:szCs w:val="24"/>
                <w:lang w:eastAsia="uk-UA" w:bidi="uk-UA"/>
              </w:rPr>
              <w:t xml:space="preserve"> земель</w:t>
            </w:r>
          </w:p>
        </w:tc>
        <w:tc>
          <w:tcPr>
            <w:tcW w:w="1775" w:type="dxa"/>
            <w:hideMark/>
          </w:tcPr>
          <w:p w:rsidR="002646CF" w:rsidRPr="002646CF" w:rsidRDefault="002646CF" w:rsidP="00A75AFF">
            <w:pPr>
              <w:spacing w:before="60"/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</w:pP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січень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br/>
              <w:t>2024 р.</w:t>
            </w:r>
          </w:p>
        </w:tc>
        <w:tc>
          <w:tcPr>
            <w:tcW w:w="1740" w:type="dxa"/>
            <w:hideMark/>
          </w:tcPr>
          <w:p w:rsidR="002646CF" w:rsidRPr="002646CF" w:rsidRDefault="002646CF" w:rsidP="00A75AFF">
            <w:pPr>
              <w:spacing w:before="60"/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</w:pP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грудень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br/>
              <w:t>2025 р.</w:t>
            </w:r>
          </w:p>
        </w:tc>
        <w:tc>
          <w:tcPr>
            <w:tcW w:w="2054" w:type="dxa"/>
            <w:hideMark/>
          </w:tcPr>
          <w:p w:rsidR="002646CF" w:rsidRPr="00236624" w:rsidRDefault="002646CF" w:rsidP="00A75AFF">
            <w:pPr>
              <w:spacing w:before="60"/>
              <w:rPr>
                <w:rFonts w:ascii="Times New Roman" w:eastAsia="Calibri" w:hAnsi="Times New Roman"/>
                <w:lang w:eastAsia="uk-UA" w:bidi="uk-UA"/>
              </w:rPr>
            </w:pPr>
            <w:proofErr w:type="spellStart"/>
            <w:r w:rsidRPr="00236624">
              <w:rPr>
                <w:rFonts w:ascii="Times New Roman" w:eastAsia="Calibri" w:hAnsi="Times New Roman"/>
                <w:lang w:eastAsia="uk-UA" w:bidi="uk-UA"/>
              </w:rPr>
              <w:t>Держгеокадастр</w:t>
            </w:r>
            <w:proofErr w:type="spellEnd"/>
          </w:p>
          <w:p w:rsidR="002646CF" w:rsidRPr="002646CF" w:rsidRDefault="002646CF" w:rsidP="00A75AFF">
            <w:pPr>
              <w:spacing w:before="60"/>
              <w:rPr>
                <w:rFonts w:ascii="Times New Roman" w:eastAsia="Calibri" w:hAnsi="Times New Roman"/>
                <w:sz w:val="24"/>
                <w:szCs w:val="24"/>
                <w:lang w:bidi="uk-UA"/>
              </w:rPr>
            </w:pPr>
            <w:proofErr w:type="spellStart"/>
            <w:r w:rsidRPr="00236624">
              <w:rPr>
                <w:rFonts w:ascii="Times New Roman" w:eastAsia="Calibri" w:hAnsi="Times New Roman"/>
                <w:lang w:eastAsia="uk-UA" w:bidi="uk-UA"/>
              </w:rPr>
              <w:t>обласні</w:t>
            </w:r>
            <w:proofErr w:type="spellEnd"/>
            <w:r w:rsidRPr="00236624">
              <w:rPr>
                <w:rFonts w:ascii="Times New Roman" w:eastAsia="Calibri" w:hAnsi="Times New Roman"/>
                <w:lang w:eastAsia="uk-UA" w:bidi="uk-UA"/>
              </w:rPr>
              <w:t xml:space="preserve"> </w:t>
            </w:r>
            <w:proofErr w:type="spellStart"/>
            <w:r w:rsidRPr="00236624">
              <w:rPr>
                <w:rFonts w:ascii="Times New Roman" w:eastAsia="Calibri" w:hAnsi="Times New Roman"/>
                <w:lang w:eastAsia="uk-UA" w:bidi="uk-UA"/>
              </w:rPr>
              <w:t>держ-адміністрації</w:t>
            </w:r>
            <w:proofErr w:type="spellEnd"/>
          </w:p>
        </w:tc>
        <w:tc>
          <w:tcPr>
            <w:tcW w:w="2604" w:type="dxa"/>
            <w:hideMark/>
          </w:tcPr>
          <w:p w:rsidR="002646CF" w:rsidRPr="00123A70" w:rsidRDefault="002646CF" w:rsidP="00A75AFF">
            <w:pPr>
              <w:spacing w:before="60"/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</w:pP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державний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бюджет</w:t>
            </w:r>
          </w:p>
        </w:tc>
        <w:tc>
          <w:tcPr>
            <w:tcW w:w="2842" w:type="dxa"/>
            <w:hideMark/>
          </w:tcPr>
          <w:p w:rsidR="002646CF" w:rsidRPr="00123A70" w:rsidRDefault="002646CF" w:rsidP="00A75AFF">
            <w:pPr>
              <w:spacing w:before="60"/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</w:pPr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у межах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встановлених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бюджетних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призначень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на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відповідний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рік</w:t>
            </w:r>
            <w:proofErr w:type="spellEnd"/>
          </w:p>
        </w:tc>
        <w:tc>
          <w:tcPr>
            <w:tcW w:w="2913" w:type="dxa"/>
            <w:hideMark/>
          </w:tcPr>
          <w:p w:rsidR="002646CF" w:rsidRPr="00123A70" w:rsidRDefault="002646CF" w:rsidP="00A75AFF">
            <w:pPr>
              <w:spacing w:before="60"/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</w:pP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</w:rPr>
              <w:t>Держгеокадастром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</w:rPr>
              <w:t xml:space="preserve"> подано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</w:rPr>
              <w:t>звіт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</w:rPr>
              <w:t xml:space="preserve"> про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</w:rPr>
              <w:t>виконання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2059" w:type="dxa"/>
            <w:hideMark/>
          </w:tcPr>
          <w:p w:rsidR="002646CF" w:rsidRPr="00123A70" w:rsidRDefault="002646CF" w:rsidP="00A75AFF">
            <w:pPr>
              <w:spacing w:before="60"/>
              <w:rPr>
                <w:rFonts w:ascii="Times New Roman" w:eastAsia="Calibri" w:hAnsi="Times New Roman"/>
                <w:sz w:val="24"/>
                <w:szCs w:val="24"/>
                <w:lang w:bidi="uk-UA"/>
              </w:rPr>
            </w:pP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Мінагрополітики</w:t>
            </w:r>
            <w:proofErr w:type="spellEnd"/>
          </w:p>
        </w:tc>
      </w:tr>
    </w:tbl>
    <w:p w:rsidR="002646CF" w:rsidRPr="000E2BA2" w:rsidRDefault="002646CF" w:rsidP="007D3CC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71"/>
        <w:gridCol w:w="1218"/>
        <w:gridCol w:w="1196"/>
        <w:gridCol w:w="1396"/>
        <w:gridCol w:w="1747"/>
        <w:gridCol w:w="1899"/>
        <w:gridCol w:w="1944"/>
        <w:gridCol w:w="1399"/>
      </w:tblGrid>
      <w:tr w:rsidR="002646CF" w:rsidRPr="00123A70" w:rsidTr="00A75AFF">
        <w:trPr>
          <w:trHeight w:val="230"/>
        </w:trPr>
        <w:tc>
          <w:tcPr>
            <w:tcW w:w="5775" w:type="dxa"/>
            <w:hideMark/>
          </w:tcPr>
          <w:p w:rsidR="002646CF" w:rsidRPr="002646CF" w:rsidRDefault="002646CF" w:rsidP="00A75AFF">
            <w:pPr>
              <w:spacing w:before="60"/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</w:pPr>
            <w:r w:rsidRPr="002646CF">
              <w:rPr>
                <w:rFonts w:ascii="Times New Roman" w:eastAsia="Calibri" w:hAnsi="Times New Roman"/>
                <w:b/>
                <w:sz w:val="24"/>
                <w:szCs w:val="24"/>
                <w:lang w:eastAsia="uk-UA" w:bidi="uk-UA"/>
              </w:rPr>
              <w:t>2.5.10.1.3</w:t>
            </w:r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. 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Виконання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r w:rsidRPr="002646CF">
              <w:rPr>
                <w:rFonts w:ascii="Times New Roman" w:eastAsia="Calibri" w:hAnsi="Times New Roman"/>
                <w:sz w:val="24"/>
                <w:szCs w:val="24"/>
              </w:rPr>
              <w:t xml:space="preserve">Агентством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</w:rPr>
              <w:t>відновлення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та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обласними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держадміністраціями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у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повному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обсязі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вимог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наказу,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заз</w:t>
            </w:r>
            <w:r w:rsidR="009A723C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наченого</w:t>
            </w:r>
            <w:proofErr w:type="spellEnd"/>
            <w:r w:rsidR="009A723C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у </w:t>
            </w:r>
            <w:proofErr w:type="spellStart"/>
            <w:r w:rsidR="009A723C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підпункті</w:t>
            </w:r>
            <w:proofErr w:type="spellEnd"/>
            <w:r w:rsidR="009A723C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2.5.10.1.2(</w:t>
            </w:r>
            <w:proofErr w:type="spellStart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>Розроблення</w:t>
            </w:r>
            <w:proofErr w:type="spellEnd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 xml:space="preserve"> та </w:t>
            </w:r>
            <w:proofErr w:type="spellStart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>видання</w:t>
            </w:r>
            <w:proofErr w:type="spellEnd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 xml:space="preserve"> наказу </w:t>
            </w:r>
            <w:r w:rsidR="009A723C" w:rsidRPr="009A723C">
              <w:rPr>
                <w:rFonts w:ascii="Times New Roman" w:eastAsia="Calibri" w:hAnsi="Times New Roman"/>
                <w:i/>
              </w:rPr>
              <w:t xml:space="preserve">Агентства </w:t>
            </w:r>
            <w:proofErr w:type="spellStart"/>
            <w:r w:rsidR="009A723C" w:rsidRPr="009A723C">
              <w:rPr>
                <w:rFonts w:ascii="Times New Roman" w:eastAsia="Calibri" w:hAnsi="Times New Roman"/>
                <w:i/>
              </w:rPr>
              <w:t>відновлення</w:t>
            </w:r>
            <w:proofErr w:type="spellEnd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 xml:space="preserve">, </w:t>
            </w:r>
            <w:proofErr w:type="spellStart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>яким</w:t>
            </w:r>
            <w:proofErr w:type="spellEnd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 xml:space="preserve"> </w:t>
            </w:r>
            <w:proofErr w:type="spellStart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>врегульовано</w:t>
            </w:r>
            <w:proofErr w:type="spellEnd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 xml:space="preserve"> </w:t>
            </w:r>
            <w:proofErr w:type="spellStart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>питання</w:t>
            </w:r>
            <w:proofErr w:type="spellEnd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 xml:space="preserve"> про </w:t>
            </w:r>
            <w:proofErr w:type="spellStart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>оприлюднення</w:t>
            </w:r>
            <w:proofErr w:type="spellEnd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 xml:space="preserve"> </w:t>
            </w:r>
            <w:proofErr w:type="spellStart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>публічної</w:t>
            </w:r>
            <w:proofErr w:type="spellEnd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 xml:space="preserve"> </w:t>
            </w:r>
            <w:proofErr w:type="spellStart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>інформації</w:t>
            </w:r>
            <w:proofErr w:type="spellEnd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 xml:space="preserve"> у </w:t>
            </w:r>
            <w:proofErr w:type="spellStart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>формі</w:t>
            </w:r>
            <w:proofErr w:type="spellEnd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 xml:space="preserve"> </w:t>
            </w:r>
            <w:proofErr w:type="spellStart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>відкритих</w:t>
            </w:r>
            <w:proofErr w:type="spellEnd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 xml:space="preserve"> </w:t>
            </w:r>
            <w:proofErr w:type="spellStart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>даних</w:t>
            </w:r>
            <w:proofErr w:type="spellEnd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 xml:space="preserve"> </w:t>
            </w:r>
            <w:r w:rsidR="009A723C" w:rsidRPr="009A723C">
              <w:rPr>
                <w:rFonts w:ascii="Times New Roman" w:eastAsia="Calibri" w:hAnsi="Times New Roman"/>
                <w:i/>
              </w:rPr>
              <w:t xml:space="preserve">Агентством </w:t>
            </w:r>
            <w:proofErr w:type="spellStart"/>
            <w:r w:rsidR="009A723C" w:rsidRPr="009A723C">
              <w:rPr>
                <w:rFonts w:ascii="Times New Roman" w:eastAsia="Calibri" w:hAnsi="Times New Roman"/>
                <w:i/>
              </w:rPr>
              <w:t>відновлення</w:t>
            </w:r>
            <w:proofErr w:type="spellEnd"/>
            <w:r w:rsidR="009A723C" w:rsidRPr="009A723C">
              <w:rPr>
                <w:rFonts w:ascii="Times New Roman" w:eastAsia="Calibri" w:hAnsi="Times New Roman"/>
                <w:i/>
              </w:rPr>
              <w:t>,</w:t>
            </w:r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 xml:space="preserve"> </w:t>
            </w:r>
            <w:proofErr w:type="spellStart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>обласними</w:t>
            </w:r>
            <w:proofErr w:type="spellEnd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 xml:space="preserve"> </w:t>
            </w:r>
            <w:proofErr w:type="spellStart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>держадміністраціями</w:t>
            </w:r>
            <w:proofErr w:type="spellEnd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 xml:space="preserve">, </w:t>
            </w:r>
            <w:proofErr w:type="spellStart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>які</w:t>
            </w:r>
            <w:proofErr w:type="spellEnd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 xml:space="preserve"> </w:t>
            </w:r>
            <w:proofErr w:type="spellStart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>згідно</w:t>
            </w:r>
            <w:proofErr w:type="spellEnd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 xml:space="preserve"> з </w:t>
            </w:r>
            <w:proofErr w:type="spellStart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lastRenderedPageBreak/>
              <w:t>додатком</w:t>
            </w:r>
            <w:proofErr w:type="spellEnd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 xml:space="preserve"> до </w:t>
            </w:r>
            <w:proofErr w:type="spellStart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>Положення</w:t>
            </w:r>
            <w:proofErr w:type="spellEnd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 xml:space="preserve"> про </w:t>
            </w:r>
            <w:proofErr w:type="spellStart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>набори</w:t>
            </w:r>
            <w:proofErr w:type="spellEnd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 xml:space="preserve"> </w:t>
            </w:r>
            <w:proofErr w:type="spellStart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>даних</w:t>
            </w:r>
            <w:proofErr w:type="spellEnd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 xml:space="preserve"> </w:t>
            </w:r>
            <w:proofErr w:type="spellStart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>підлягають</w:t>
            </w:r>
            <w:proofErr w:type="spellEnd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 xml:space="preserve"> </w:t>
            </w:r>
            <w:proofErr w:type="spellStart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>оприлюдненню</w:t>
            </w:r>
            <w:proofErr w:type="spellEnd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 xml:space="preserve"> у </w:t>
            </w:r>
            <w:proofErr w:type="spellStart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>формі</w:t>
            </w:r>
            <w:proofErr w:type="spellEnd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 xml:space="preserve"> </w:t>
            </w:r>
            <w:proofErr w:type="spellStart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>відкритих</w:t>
            </w:r>
            <w:proofErr w:type="spellEnd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 xml:space="preserve"> </w:t>
            </w:r>
            <w:proofErr w:type="spellStart"/>
            <w:r w:rsidR="009A723C" w:rsidRPr="009A723C">
              <w:rPr>
                <w:rFonts w:ascii="Times New Roman" w:eastAsia="Calibri" w:hAnsi="Times New Roman"/>
                <w:i/>
                <w:lang w:eastAsia="uk-UA" w:bidi="uk-UA"/>
              </w:rPr>
              <w:t>даних</w:t>
            </w:r>
            <w:proofErr w:type="spellEnd"/>
            <w:r w:rsidR="009A723C" w:rsidRPr="009A723C">
              <w:rPr>
                <w:rFonts w:ascii="Times New Roman" w:eastAsia="Calibri" w:hAnsi="Times New Roman"/>
                <w:i/>
                <w:sz w:val="24"/>
                <w:szCs w:val="24"/>
                <w:lang w:eastAsia="uk-UA" w:bidi="uk-UA"/>
              </w:rPr>
              <w:t>)</w:t>
            </w:r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та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забезпечення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оприлюднення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відкритих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даних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на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Єдиному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державному веб-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порталі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відкритих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даних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відповідно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до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переліку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наборів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даних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за стандартом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CoST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IDS (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Infrastructure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Data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Standard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),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публікації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даних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зокрема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проектної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документації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та методики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розрахунку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очікуваної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вартості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закупівлі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) у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машинозчитуваному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форматі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згідно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із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стандартами OC4IDS і OCDS</w:t>
            </w:r>
          </w:p>
        </w:tc>
        <w:tc>
          <w:tcPr>
            <w:tcW w:w="1775" w:type="dxa"/>
            <w:hideMark/>
          </w:tcPr>
          <w:p w:rsidR="002646CF" w:rsidRPr="002646CF" w:rsidRDefault="002646CF" w:rsidP="00A75AFF">
            <w:pPr>
              <w:spacing w:before="60"/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</w:pP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lastRenderedPageBreak/>
              <w:t>червень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br/>
              <w:t>2023 р.</w:t>
            </w:r>
          </w:p>
        </w:tc>
        <w:tc>
          <w:tcPr>
            <w:tcW w:w="1740" w:type="dxa"/>
            <w:hideMark/>
          </w:tcPr>
          <w:p w:rsidR="002646CF" w:rsidRPr="002646CF" w:rsidRDefault="002646CF" w:rsidP="00A75AFF">
            <w:pPr>
              <w:spacing w:before="60"/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</w:pPr>
            <w:proofErr w:type="spellStart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грудень</w:t>
            </w:r>
            <w:proofErr w:type="spellEnd"/>
            <w:r w:rsidRPr="002646CF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br/>
              <w:t>2025 р.</w:t>
            </w:r>
          </w:p>
        </w:tc>
        <w:tc>
          <w:tcPr>
            <w:tcW w:w="2054" w:type="dxa"/>
            <w:hideMark/>
          </w:tcPr>
          <w:p w:rsidR="002646CF" w:rsidRPr="00236624" w:rsidRDefault="002646CF" w:rsidP="00A75AFF">
            <w:pPr>
              <w:spacing w:before="60"/>
              <w:rPr>
                <w:rFonts w:ascii="Times New Roman" w:eastAsia="Calibri" w:hAnsi="Times New Roman"/>
                <w:lang w:bidi="uk-UA"/>
              </w:rPr>
            </w:pPr>
            <w:r w:rsidRPr="00236624">
              <w:rPr>
                <w:rFonts w:ascii="Times New Roman" w:eastAsia="Calibri" w:hAnsi="Times New Roman"/>
              </w:rPr>
              <w:t xml:space="preserve">Агентство </w:t>
            </w:r>
            <w:proofErr w:type="spellStart"/>
            <w:r w:rsidRPr="00236624">
              <w:rPr>
                <w:rFonts w:ascii="Times New Roman" w:eastAsia="Calibri" w:hAnsi="Times New Roman"/>
              </w:rPr>
              <w:t>відновлення</w:t>
            </w:r>
            <w:proofErr w:type="spellEnd"/>
          </w:p>
          <w:p w:rsidR="002646CF" w:rsidRPr="002646CF" w:rsidRDefault="002646CF" w:rsidP="00A75AFF">
            <w:pPr>
              <w:spacing w:before="60"/>
              <w:rPr>
                <w:rFonts w:ascii="Times New Roman" w:eastAsia="Calibri" w:hAnsi="Times New Roman"/>
                <w:sz w:val="24"/>
                <w:szCs w:val="24"/>
                <w:lang w:bidi="uk-UA"/>
              </w:rPr>
            </w:pPr>
            <w:r w:rsidRPr="0023662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236624">
              <w:rPr>
                <w:rFonts w:ascii="Times New Roman" w:eastAsia="Calibri" w:hAnsi="Times New Roman"/>
                <w:lang w:eastAsia="uk-UA" w:bidi="uk-UA"/>
              </w:rPr>
              <w:t>обласні</w:t>
            </w:r>
            <w:proofErr w:type="spellEnd"/>
            <w:r w:rsidRPr="00236624">
              <w:rPr>
                <w:rFonts w:ascii="Times New Roman" w:eastAsia="Calibri" w:hAnsi="Times New Roman"/>
                <w:lang w:eastAsia="uk-UA" w:bidi="uk-UA"/>
              </w:rPr>
              <w:t xml:space="preserve"> </w:t>
            </w:r>
            <w:proofErr w:type="spellStart"/>
            <w:r w:rsidRPr="00236624">
              <w:rPr>
                <w:rFonts w:ascii="Times New Roman" w:eastAsia="Calibri" w:hAnsi="Times New Roman"/>
                <w:lang w:eastAsia="uk-UA" w:bidi="uk-UA"/>
              </w:rPr>
              <w:t>держ-адміністрації</w:t>
            </w:r>
            <w:proofErr w:type="spellEnd"/>
          </w:p>
        </w:tc>
        <w:tc>
          <w:tcPr>
            <w:tcW w:w="2604" w:type="dxa"/>
            <w:hideMark/>
          </w:tcPr>
          <w:p w:rsidR="002646CF" w:rsidRPr="00123A70" w:rsidRDefault="002646CF" w:rsidP="00A75AFF">
            <w:pPr>
              <w:spacing w:before="60"/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</w:pP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державний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бюджет</w:t>
            </w:r>
          </w:p>
        </w:tc>
        <w:tc>
          <w:tcPr>
            <w:tcW w:w="2842" w:type="dxa"/>
            <w:hideMark/>
          </w:tcPr>
          <w:p w:rsidR="002646CF" w:rsidRPr="00123A70" w:rsidRDefault="002646CF" w:rsidP="00A75AFF">
            <w:pPr>
              <w:spacing w:before="60"/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</w:pPr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у межах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встановлених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бюджетних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призначень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на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відповідний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рік</w:t>
            </w:r>
            <w:proofErr w:type="spellEnd"/>
          </w:p>
        </w:tc>
        <w:tc>
          <w:tcPr>
            <w:tcW w:w="2913" w:type="dxa"/>
            <w:hideMark/>
          </w:tcPr>
          <w:p w:rsidR="002646CF" w:rsidRPr="00123A70" w:rsidRDefault="002646CF" w:rsidP="00A75AFF">
            <w:pPr>
              <w:spacing w:before="60"/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</w:pPr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на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Єдиному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державному веб-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порталі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відкритих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даних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публікуються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дані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щодо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дорожніх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інфраструктурних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проектів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згідно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із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lastRenderedPageBreak/>
              <w:t xml:space="preserve">стандартом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CoST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IDS (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Infrastructure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Data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Standard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), у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машинозчитуваному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форматі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згідно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із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стандартами OC4IDS і OCDS</w:t>
            </w:r>
          </w:p>
        </w:tc>
        <w:tc>
          <w:tcPr>
            <w:tcW w:w="2059" w:type="dxa"/>
            <w:hideMark/>
          </w:tcPr>
          <w:p w:rsidR="002646CF" w:rsidRPr="00123A70" w:rsidRDefault="002646CF" w:rsidP="00A75AFF">
            <w:pPr>
              <w:spacing w:before="60"/>
              <w:rPr>
                <w:rFonts w:ascii="Times New Roman" w:eastAsia="Calibri" w:hAnsi="Times New Roman"/>
                <w:sz w:val="24"/>
                <w:szCs w:val="24"/>
                <w:lang w:bidi="uk-UA"/>
              </w:rPr>
            </w:pP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lastRenderedPageBreak/>
              <w:t>Єдиний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державний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веб-портал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відкритих</w:t>
            </w:r>
            <w:proofErr w:type="spellEnd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23A70">
              <w:rPr>
                <w:rFonts w:ascii="Times New Roman" w:eastAsia="Calibri" w:hAnsi="Times New Roman"/>
                <w:sz w:val="24"/>
                <w:szCs w:val="24"/>
                <w:lang w:eastAsia="uk-UA" w:bidi="uk-UA"/>
              </w:rPr>
              <w:t>даних</w:t>
            </w:r>
            <w:proofErr w:type="spellEnd"/>
          </w:p>
        </w:tc>
      </w:tr>
    </w:tbl>
    <w:p w:rsidR="002646CF" w:rsidRPr="009C044B" w:rsidRDefault="009C044B" w:rsidP="007D3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Завідувач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сектору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корупції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ОВА                                                      Олег ХАБЧУК</w:t>
      </w:r>
      <w:bookmarkStart w:id="0" w:name="_GoBack"/>
      <w:bookmarkEnd w:id="0"/>
    </w:p>
    <w:sectPr w:rsidR="002646CF" w:rsidRPr="009C044B" w:rsidSect="00517B58">
      <w:headerReference w:type="default" r:id="rId6"/>
      <w:pgSz w:w="16838" w:h="11906" w:orient="landscape"/>
      <w:pgMar w:top="142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572" w:rsidRDefault="00674572" w:rsidP="00674572">
      <w:pPr>
        <w:spacing w:after="0" w:line="240" w:lineRule="auto"/>
      </w:pPr>
      <w:r>
        <w:separator/>
      </w:r>
    </w:p>
  </w:endnote>
  <w:endnote w:type="continuationSeparator" w:id="0">
    <w:p w:rsidR="00674572" w:rsidRDefault="00674572" w:rsidP="0067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572" w:rsidRDefault="00674572" w:rsidP="00674572">
      <w:pPr>
        <w:spacing w:after="0" w:line="240" w:lineRule="auto"/>
      </w:pPr>
      <w:r>
        <w:separator/>
      </w:r>
    </w:p>
  </w:footnote>
  <w:footnote w:type="continuationSeparator" w:id="0">
    <w:p w:rsidR="00674572" w:rsidRDefault="00674572" w:rsidP="00674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8674621"/>
      <w:docPartObj>
        <w:docPartGallery w:val="Page Numbers (Top of Page)"/>
        <w:docPartUnique/>
      </w:docPartObj>
    </w:sdtPr>
    <w:sdtEndPr/>
    <w:sdtContent>
      <w:p w:rsidR="00674572" w:rsidRDefault="0067457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44B">
          <w:rPr>
            <w:noProof/>
          </w:rPr>
          <w:t>4</w:t>
        </w:r>
        <w:r>
          <w:fldChar w:fldCharType="end"/>
        </w:r>
      </w:p>
    </w:sdtContent>
  </w:sdt>
  <w:p w:rsidR="00674572" w:rsidRDefault="006745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CE"/>
    <w:rsid w:val="000E2BA2"/>
    <w:rsid w:val="00236624"/>
    <w:rsid w:val="002646CF"/>
    <w:rsid w:val="00423A09"/>
    <w:rsid w:val="00517B58"/>
    <w:rsid w:val="00674572"/>
    <w:rsid w:val="007D3CCE"/>
    <w:rsid w:val="008247EE"/>
    <w:rsid w:val="008F6F7E"/>
    <w:rsid w:val="009A723C"/>
    <w:rsid w:val="009C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BEBA"/>
  <w15:chartTrackingRefBased/>
  <w15:docId w15:val="{012F6A20-790D-45D8-AE11-6F6406CC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57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4572"/>
  </w:style>
  <w:style w:type="paragraph" w:styleId="a5">
    <w:name w:val="footer"/>
    <w:basedOn w:val="a"/>
    <w:link w:val="a6"/>
    <w:uiPriority w:val="99"/>
    <w:unhideWhenUsed/>
    <w:rsid w:val="0067457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4572"/>
  </w:style>
  <w:style w:type="paragraph" w:styleId="a7">
    <w:name w:val="Balloon Text"/>
    <w:basedOn w:val="a"/>
    <w:link w:val="a8"/>
    <w:uiPriority w:val="99"/>
    <w:semiHidden/>
    <w:unhideWhenUsed/>
    <w:rsid w:val="00236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Хабчук Олег Матвійович</dc:creator>
  <cp:keywords/>
  <dc:description/>
  <cp:lastModifiedBy>Хабчук Олег Матвійович</cp:lastModifiedBy>
  <cp:revision>9</cp:revision>
  <cp:lastPrinted>2023-06-30T11:26:00Z</cp:lastPrinted>
  <dcterms:created xsi:type="dcterms:W3CDTF">2023-03-31T07:23:00Z</dcterms:created>
  <dcterms:modified xsi:type="dcterms:W3CDTF">2023-07-20T05:01:00Z</dcterms:modified>
</cp:coreProperties>
</file>