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73E78" w:rsidRPr="001D0370" w:rsidRDefault="001D0370" w:rsidP="00BE5EBB">
      <w:pPr>
        <w:spacing w:after="0" w:line="360" w:lineRule="auto"/>
        <w:ind w:firstLine="142"/>
        <w:jc w:val="both"/>
        <w:rPr>
          <w:rFonts w:ascii="Times New Roman" w:hAnsi="Times New Roman" w:cs="Times New Roman"/>
          <w:b/>
          <w:bCs/>
          <w:sz w:val="32"/>
          <w:szCs w:val="32"/>
        </w:rPr>
      </w:pPr>
      <w:r w:rsidRPr="001D0370">
        <w:rPr>
          <w:rFonts w:ascii="Times New Roman" w:hAnsi="Times New Roman" w:cs="Times New Roman"/>
          <w:b/>
          <w:bCs/>
          <w:sz w:val="32"/>
          <w:szCs w:val="32"/>
        </w:rPr>
        <w:t>Електронні сервіси ДПС</w:t>
      </w:r>
      <w:r w:rsidR="00DC5C15">
        <w:rPr>
          <w:rFonts w:ascii="Times New Roman" w:hAnsi="Times New Roman" w:cs="Times New Roman"/>
          <w:b/>
          <w:bCs/>
          <w:sz w:val="32"/>
          <w:szCs w:val="32"/>
        </w:rPr>
        <w:t xml:space="preserve"> – доступно та зручно!</w:t>
      </w:r>
    </w:p>
    <w:p w:rsidR="00073E78" w:rsidRPr="001D0370" w:rsidRDefault="001D0370" w:rsidP="00BE5EBB">
      <w:pPr>
        <w:spacing w:after="0" w:line="360" w:lineRule="auto"/>
        <w:ind w:firstLine="142"/>
        <w:jc w:val="both"/>
        <w:rPr>
          <w:rFonts w:ascii="Times New Roman" w:hAnsi="Times New Roman" w:cs="Times New Roman"/>
          <w:sz w:val="32"/>
          <w:szCs w:val="32"/>
          <w:lang w:val="ru-RU"/>
        </w:rPr>
      </w:pPr>
      <w:r w:rsidRPr="001D0370">
        <w:rPr>
          <w:rFonts w:ascii="Times New Roman" w:hAnsi="Times New Roman" w:cs="Times New Roman"/>
          <w:sz w:val="32"/>
          <w:szCs w:val="32"/>
        </w:rPr>
        <w:t>В умовах воєнного стану важливим напрямом роботи Державної податкової служби України є розвиток онлайн-сервісів для допомоги платникам, забезпечення їх електронної взаємодії з органами ДПС, щоб сплачувати податки було легко та зручно, а отримувати електронні послуги – просто та комфортно.</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На офіційному сайті податкової служби забезпечено доступ до низки безкоштовних податкових сервісів</w:t>
      </w:r>
      <w:r w:rsidRPr="001D0370">
        <w:rPr>
          <w:rFonts w:ascii="Times New Roman" w:hAnsi="Times New Roman" w:cs="Times New Roman"/>
          <w:sz w:val="32"/>
          <w:szCs w:val="32"/>
          <w:lang w:val="ru-RU"/>
        </w:rPr>
        <w:t>, зокрема</w:t>
      </w:r>
      <w:r w:rsidRPr="001D0370">
        <w:rPr>
          <w:rFonts w:ascii="Times New Roman" w:hAnsi="Times New Roman" w:cs="Times New Roman"/>
          <w:sz w:val="32"/>
          <w:szCs w:val="32"/>
        </w:rPr>
        <w:t>:</w:t>
      </w:r>
      <w:r w:rsidRPr="001D0370">
        <w:rPr>
          <w:rFonts w:ascii="Times New Roman" w:hAnsi="Times New Roman" w:cs="Times New Roman"/>
          <w:sz w:val="32"/>
          <w:szCs w:val="32"/>
          <w:lang w:val="ru-RU"/>
        </w:rPr>
        <w:t xml:space="preserve"> </w:t>
      </w:r>
      <w:r w:rsidRPr="001D0370">
        <w:rPr>
          <w:rFonts w:ascii="Times New Roman" w:hAnsi="Times New Roman" w:cs="Times New Roman"/>
          <w:b/>
          <w:bCs/>
          <w:sz w:val="32"/>
          <w:szCs w:val="32"/>
        </w:rPr>
        <w:t>“</w:t>
      </w:r>
      <w:r w:rsidRPr="001D0370">
        <w:rPr>
          <w:rFonts w:ascii="Times New Roman" w:hAnsi="Times New Roman" w:cs="Times New Roman"/>
          <w:b/>
          <w:bCs/>
          <w:sz w:val="32"/>
          <w:szCs w:val="32"/>
          <w:lang w:val="ru-RU"/>
        </w:rPr>
        <w:t>Електронний каб</w:t>
      </w:r>
      <w:r w:rsidRPr="001D0370">
        <w:rPr>
          <w:rFonts w:ascii="Times New Roman" w:hAnsi="Times New Roman" w:cs="Times New Roman"/>
          <w:b/>
          <w:bCs/>
          <w:sz w:val="32"/>
          <w:szCs w:val="32"/>
        </w:rPr>
        <w:t>і</w:t>
      </w:r>
      <w:r w:rsidRPr="001D0370">
        <w:rPr>
          <w:rFonts w:ascii="Times New Roman" w:hAnsi="Times New Roman" w:cs="Times New Roman"/>
          <w:b/>
          <w:bCs/>
          <w:sz w:val="32"/>
          <w:szCs w:val="32"/>
          <w:lang w:val="ru-RU"/>
        </w:rPr>
        <w:t>нет»</w:t>
      </w:r>
      <w:r w:rsidRPr="001D0370">
        <w:rPr>
          <w:rFonts w:ascii="Times New Roman" w:hAnsi="Times New Roman" w:cs="Times New Roman"/>
          <w:b/>
          <w:bCs/>
          <w:sz w:val="32"/>
          <w:szCs w:val="32"/>
        </w:rPr>
        <w:t>, “Загальнодоступний інформаційний реєстр” (ЗІР), сервіс “Пульс”, “Кваліфікований надавач електронних довірчих послуг”</w:t>
      </w:r>
      <w:r w:rsidRPr="001D0370">
        <w:rPr>
          <w:rFonts w:ascii="Times New Roman" w:hAnsi="Times New Roman" w:cs="Times New Roman"/>
          <w:sz w:val="32"/>
          <w:szCs w:val="32"/>
        </w:rPr>
        <w:t xml:space="preserve"> та інші.</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Набирає популярності серед платників нове безкоштовне програмне рішення Державної податкової служби України - це мобільний застосунок </w:t>
      </w:r>
      <w:r w:rsidRPr="001D0370">
        <w:rPr>
          <w:rFonts w:ascii="Times New Roman" w:hAnsi="Times New Roman" w:cs="Times New Roman"/>
          <w:b/>
          <w:bCs/>
          <w:sz w:val="32"/>
          <w:szCs w:val="32"/>
        </w:rPr>
        <w:t>“Моя податкова”</w:t>
      </w:r>
      <w:r w:rsidRPr="001D0370">
        <w:rPr>
          <w:rFonts w:ascii="Times New Roman" w:hAnsi="Times New Roman" w:cs="Times New Roman"/>
          <w:sz w:val="32"/>
          <w:szCs w:val="32"/>
        </w:rPr>
        <w:t xml:space="preserve">. Даний програмний комплекс застосовується для будь-якого пристрою, що підтримує операційні системи </w:t>
      </w:r>
      <w:r w:rsidRPr="001D0370">
        <w:rPr>
          <w:rFonts w:ascii="Times New Roman" w:hAnsi="Times New Roman" w:cs="Times New Roman"/>
          <w:sz w:val="32"/>
          <w:szCs w:val="32"/>
          <w:lang w:val="en-US"/>
        </w:rPr>
        <w:t>Android</w:t>
      </w:r>
      <w:r w:rsidRPr="00931BD5">
        <w:rPr>
          <w:rFonts w:ascii="Times New Roman" w:hAnsi="Times New Roman" w:cs="Times New Roman"/>
          <w:sz w:val="32"/>
          <w:szCs w:val="32"/>
        </w:rPr>
        <w:t xml:space="preserve"> </w:t>
      </w:r>
      <w:r w:rsidR="00931BD5">
        <w:rPr>
          <w:rFonts w:ascii="Times New Roman" w:hAnsi="Times New Roman" w:cs="Times New Roman"/>
          <w:sz w:val="32"/>
          <w:szCs w:val="32"/>
        </w:rPr>
        <w:t>чи</w:t>
      </w:r>
      <w:r w:rsidRPr="001D0370">
        <w:rPr>
          <w:rFonts w:ascii="Times New Roman" w:hAnsi="Times New Roman" w:cs="Times New Roman"/>
          <w:sz w:val="32"/>
          <w:szCs w:val="32"/>
        </w:rPr>
        <w:t xml:space="preserve"> </w:t>
      </w:r>
      <w:r w:rsidR="000B5904">
        <w:rPr>
          <w:rFonts w:ascii="Times New Roman" w:hAnsi="Times New Roman" w:cs="Times New Roman"/>
          <w:b/>
          <w:sz w:val="32"/>
          <w:szCs w:val="32"/>
          <w:lang w:val="en-US"/>
        </w:rPr>
        <w:t>IOS</w:t>
      </w:r>
      <w:r w:rsidR="005F16CF">
        <w:rPr>
          <w:rFonts w:ascii="Times New Roman" w:hAnsi="Times New Roman" w:cs="Times New Roman"/>
          <w:sz w:val="32"/>
          <w:szCs w:val="32"/>
        </w:rPr>
        <w:t xml:space="preserve"> </w:t>
      </w:r>
      <w:r w:rsidRPr="001D0370">
        <w:rPr>
          <w:rFonts w:ascii="Times New Roman" w:hAnsi="Times New Roman" w:cs="Times New Roman"/>
          <w:sz w:val="32"/>
          <w:szCs w:val="32"/>
        </w:rPr>
        <w:t>із відповідними версіями. За допомогою мобільного застосунку “Моя податкова”</w:t>
      </w:r>
      <w:r w:rsidR="000B5904" w:rsidRPr="000B5904">
        <w:rPr>
          <w:rFonts w:ascii="Times New Roman" w:hAnsi="Times New Roman" w:cs="Times New Roman"/>
          <w:sz w:val="32"/>
          <w:szCs w:val="32"/>
          <w:lang w:val="ru-RU"/>
        </w:rPr>
        <w:t xml:space="preserve"> </w:t>
      </w:r>
      <w:r w:rsidRPr="001D0370">
        <w:rPr>
          <w:rFonts w:ascii="Times New Roman" w:hAnsi="Times New Roman" w:cs="Times New Roman"/>
          <w:sz w:val="32"/>
          <w:szCs w:val="32"/>
        </w:rPr>
        <w:t>платник може отримати інформацію, зокр</w:t>
      </w:r>
      <w:r w:rsidR="005F16CF">
        <w:rPr>
          <w:rFonts w:ascii="Times New Roman" w:hAnsi="Times New Roman" w:cs="Times New Roman"/>
          <w:sz w:val="32"/>
          <w:szCs w:val="32"/>
        </w:rPr>
        <w:t>ема,</w:t>
      </w:r>
      <w:r w:rsidR="000B5904" w:rsidRPr="000B5904">
        <w:rPr>
          <w:rFonts w:ascii="Times New Roman" w:hAnsi="Times New Roman" w:cs="Times New Roman"/>
          <w:sz w:val="32"/>
          <w:szCs w:val="32"/>
          <w:lang w:val="ru-RU"/>
        </w:rPr>
        <w:t xml:space="preserve"> </w:t>
      </w:r>
      <w:r w:rsidR="005F16CF">
        <w:rPr>
          <w:rFonts w:ascii="Times New Roman" w:hAnsi="Times New Roman" w:cs="Times New Roman"/>
          <w:sz w:val="32"/>
          <w:szCs w:val="32"/>
        </w:rPr>
        <w:t>про адресу реєстрації, об</w:t>
      </w:r>
      <w:r w:rsidR="005F16CF" w:rsidRPr="001D0370">
        <w:rPr>
          <w:rFonts w:ascii="Times New Roman" w:hAnsi="Times New Roman" w:cs="Times New Roman"/>
          <w:sz w:val="32"/>
          <w:szCs w:val="32"/>
        </w:rPr>
        <w:t>’єкти</w:t>
      </w:r>
      <w:r w:rsidRPr="001D0370">
        <w:rPr>
          <w:rFonts w:ascii="Times New Roman" w:hAnsi="Times New Roman" w:cs="Times New Roman"/>
          <w:sz w:val="32"/>
          <w:szCs w:val="32"/>
        </w:rPr>
        <w:t xml:space="preserve"> оподаткування, суми виплачених доходів, розрахунки з бюджетом, подати Податкову декларацію про майновий стан і доходи та інше.</w:t>
      </w:r>
    </w:p>
    <w:p w:rsidR="00073E78" w:rsidRPr="001D0370" w:rsidRDefault="001D0370" w:rsidP="00BE5EBB">
      <w:pPr>
        <w:shd w:val="clear" w:color="auto" w:fill="FFFFFF"/>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Корисним для платників є електронний сервіс </w:t>
      </w:r>
      <w:r w:rsidRPr="001D0370">
        <w:rPr>
          <w:rFonts w:ascii="Times New Roman" w:hAnsi="Times New Roman" w:cs="Times New Roman"/>
          <w:b/>
          <w:bCs/>
          <w:sz w:val="32"/>
          <w:szCs w:val="32"/>
        </w:rPr>
        <w:t>«InfoTAX»</w:t>
      </w:r>
      <w:r w:rsidRPr="001D0370">
        <w:rPr>
          <w:rFonts w:ascii="Times New Roman" w:hAnsi="Times New Roman" w:cs="Times New Roman"/>
          <w:sz w:val="32"/>
          <w:szCs w:val="32"/>
        </w:rPr>
        <w:t xml:space="preserve"> - </w:t>
      </w:r>
      <w:r w:rsidRPr="001D0370">
        <w:rPr>
          <w:rFonts w:ascii="Times New Roman" w:hAnsi="Times New Roman" w:cs="Times New Roman"/>
          <w:b/>
          <w:sz w:val="32"/>
          <w:szCs w:val="32"/>
        </w:rPr>
        <w:t>тобто через</w:t>
      </w:r>
      <w:r w:rsidRPr="001D0370">
        <w:rPr>
          <w:rFonts w:ascii="Times New Roman" w:hAnsi="Times New Roman" w:cs="Times New Roman"/>
          <w:sz w:val="32"/>
          <w:szCs w:val="32"/>
        </w:rPr>
        <w:t xml:space="preserve"> </w:t>
      </w:r>
      <w:r w:rsidRPr="001D0370">
        <w:rPr>
          <w:rFonts w:ascii="Times New Roman" w:hAnsi="Times New Roman" w:cs="Times New Roman"/>
          <w:b/>
          <w:bCs/>
          <w:sz w:val="32"/>
          <w:szCs w:val="32"/>
        </w:rPr>
        <w:t>месенджери Telegram та Viber</w:t>
      </w:r>
      <w:r w:rsidRPr="001D0370">
        <w:rPr>
          <w:rFonts w:ascii="Times New Roman" w:hAnsi="Times New Roman" w:cs="Times New Roman"/>
          <w:sz w:val="32"/>
          <w:szCs w:val="32"/>
        </w:rPr>
        <w:t xml:space="preserve"> платники можуть отримувати отримувати актуальну та необхідну інформацію, у тому числі повідомлення від ДПС, які допомагають вчасно сплатити податки та уникнути податкового боргу і штрафних санкцій. В повідомленні </w:t>
      </w:r>
      <w:r w:rsidRPr="001D0370">
        <w:rPr>
          <w:rFonts w:ascii="Times New Roman" w:hAnsi="Times New Roman" w:cs="Times New Roman"/>
          <w:sz w:val="32"/>
          <w:szCs w:val="32"/>
        </w:rPr>
        <w:lastRenderedPageBreak/>
        <w:t>зазначається сума та вид податку, яку потрібно заплатити та посилання в Електронний кабінет. За цим посиланням можна отримати інформацію про Реквізити для сплати.</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Стартували хмарні підписи </w:t>
      </w:r>
      <w:r w:rsidRPr="001D0370">
        <w:rPr>
          <w:rFonts w:ascii="Times New Roman" w:hAnsi="Times New Roman" w:cs="Times New Roman"/>
          <w:sz w:val="32"/>
          <w:szCs w:val="32"/>
          <w:lang w:val="en-US"/>
        </w:rPr>
        <w:t>Smart</w:t>
      </w:r>
      <w:r w:rsidR="005F16CF" w:rsidRPr="005F16CF">
        <w:rPr>
          <w:rFonts w:ascii="Times New Roman" w:hAnsi="Times New Roman" w:cs="Times New Roman"/>
          <w:sz w:val="32"/>
          <w:szCs w:val="32"/>
          <w:lang w:val="ru-RU"/>
        </w:rPr>
        <w:t xml:space="preserve"> </w:t>
      </w:r>
      <w:r w:rsidRPr="001D0370">
        <w:rPr>
          <w:rFonts w:ascii="Times New Roman" w:hAnsi="Times New Roman" w:cs="Times New Roman"/>
          <w:sz w:val="32"/>
          <w:szCs w:val="32"/>
          <w:lang w:val="en-US"/>
        </w:rPr>
        <w:t>ID</w:t>
      </w:r>
      <w:r w:rsidRPr="001D0370">
        <w:rPr>
          <w:rFonts w:ascii="Times New Roman" w:hAnsi="Times New Roman" w:cs="Times New Roman"/>
          <w:sz w:val="32"/>
          <w:szCs w:val="32"/>
        </w:rPr>
        <w:t xml:space="preserve"> від Приватбанк в Електронному кабінеті. Для того, щоб скористатися послугою</w:t>
      </w:r>
      <w:r w:rsidR="000B5904" w:rsidRPr="000B5904">
        <w:rPr>
          <w:rFonts w:ascii="Times New Roman" w:hAnsi="Times New Roman" w:cs="Times New Roman"/>
          <w:sz w:val="32"/>
          <w:szCs w:val="32"/>
          <w:lang w:val="ru-RU"/>
        </w:rPr>
        <w:t xml:space="preserve"> </w:t>
      </w:r>
      <w:r w:rsidRPr="001D0370">
        <w:rPr>
          <w:rFonts w:ascii="Times New Roman" w:hAnsi="Times New Roman" w:cs="Times New Roman"/>
          <w:sz w:val="32"/>
          <w:szCs w:val="32"/>
        </w:rPr>
        <w:t xml:space="preserve">потрібно обрати хмарний підпис та АЦСК, отримати посилання, відсканувати </w:t>
      </w:r>
      <w:r w:rsidRPr="001D0370">
        <w:rPr>
          <w:rFonts w:ascii="Times New Roman" w:hAnsi="Times New Roman" w:cs="Times New Roman"/>
          <w:sz w:val="32"/>
          <w:szCs w:val="32"/>
          <w:lang w:val="en-US"/>
        </w:rPr>
        <w:t>QR</w:t>
      </w:r>
      <w:r w:rsidRPr="001D0370">
        <w:rPr>
          <w:rFonts w:ascii="Times New Roman" w:hAnsi="Times New Roman" w:cs="Times New Roman"/>
          <w:sz w:val="32"/>
          <w:szCs w:val="32"/>
        </w:rPr>
        <w:t>-код. Планується незабаром запустити хмарний підпис інших акредитованих центрів сертифікації ключів.</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Впроваджен</w:t>
      </w:r>
      <w:r w:rsidR="005F16CF">
        <w:rPr>
          <w:rFonts w:ascii="Times New Roman" w:hAnsi="Times New Roman" w:cs="Times New Roman"/>
          <w:sz w:val="32"/>
          <w:szCs w:val="32"/>
        </w:rPr>
        <w:t>о</w:t>
      </w:r>
      <w:r w:rsidRPr="001D0370">
        <w:rPr>
          <w:rFonts w:ascii="Times New Roman" w:hAnsi="Times New Roman" w:cs="Times New Roman"/>
          <w:sz w:val="32"/>
          <w:szCs w:val="32"/>
        </w:rPr>
        <w:t xml:space="preserve"> Інтерактивну податкову карту України. Саме інформація про сплату податків до державного, а особливо до місцевих бюджетів набуває популярності у громадян та суспільства. Громадяни щоденно цікавляться, за який рахунок функціонує громада. Відтепер користувачі мають можливість ознайомитись зі складовими профілів територіальних громад, зокрема про загальні дані та демографію, активних платників податків, сплату податків, боргові зобов’язання.</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Слід зазначити, що на сьогодні найпопулярнішим електронним сервісом податкової служби є </w:t>
      </w:r>
      <w:r w:rsidRPr="001D0370">
        <w:rPr>
          <w:rFonts w:ascii="Times New Roman" w:hAnsi="Times New Roman" w:cs="Times New Roman"/>
          <w:b/>
          <w:bCs/>
          <w:sz w:val="32"/>
          <w:szCs w:val="32"/>
        </w:rPr>
        <w:t>Електронний кабінет</w:t>
      </w:r>
      <w:r w:rsidRPr="001D0370">
        <w:rPr>
          <w:rFonts w:ascii="Times New Roman" w:hAnsi="Times New Roman" w:cs="Times New Roman"/>
          <w:sz w:val="32"/>
          <w:szCs w:val="32"/>
        </w:rPr>
        <w:t>, який забезпечує можливість реалізації платниками податків прав та обов'язків, визначених Податковим кодексом України та нормативно-правовими актами.</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Вхід до Електронного кабінету здійснюється за адресою: </w:t>
      </w:r>
      <w:r w:rsidRPr="001D0370">
        <w:rPr>
          <w:rFonts w:ascii="Times New Roman" w:hAnsi="Times New Roman" w:cs="Times New Roman"/>
          <w:sz w:val="32"/>
          <w:szCs w:val="32"/>
        </w:rPr>
        <w:br/>
        <w:t xml:space="preserve">http:// </w:t>
      </w:r>
      <w:r w:rsidRPr="005F16CF">
        <w:rPr>
          <w:rFonts w:ascii="Times New Roman" w:hAnsi="Times New Roman" w:cs="Times New Roman"/>
          <w:sz w:val="32"/>
          <w:szCs w:val="32"/>
        </w:rPr>
        <w:t>cabinet.tax.gov.ua</w:t>
      </w:r>
      <w:r w:rsidRPr="001D0370">
        <w:rPr>
          <w:rFonts w:ascii="Times New Roman" w:hAnsi="Times New Roman" w:cs="Times New Roman"/>
          <w:sz w:val="32"/>
          <w:szCs w:val="32"/>
        </w:rPr>
        <w:t xml:space="preserve">, а також через офіційний вебпортал ДПС. </w:t>
      </w:r>
    </w:p>
    <w:p w:rsidR="00073E78" w:rsidRPr="005F16CF" w:rsidRDefault="001D0370" w:rsidP="00BE5EBB">
      <w:pPr>
        <w:shd w:val="clear" w:color="auto" w:fill="FFFFFF"/>
        <w:spacing w:after="0" w:line="360" w:lineRule="auto"/>
        <w:ind w:firstLine="142"/>
        <w:jc w:val="both"/>
        <w:rPr>
          <w:rFonts w:ascii="Times New Roman" w:hAnsi="Times New Roman" w:cs="Times New Roman"/>
          <w:sz w:val="32"/>
          <w:szCs w:val="32"/>
          <w:u w:val="single"/>
        </w:rPr>
      </w:pPr>
      <w:r w:rsidRPr="005F16CF">
        <w:rPr>
          <w:rFonts w:ascii="Times New Roman" w:hAnsi="Times New Roman" w:cs="Times New Roman"/>
          <w:sz w:val="32"/>
          <w:szCs w:val="32"/>
          <w:u w:val="single"/>
        </w:rPr>
        <w:t>Докладніше про Електронний кабінет.</w:t>
      </w:r>
    </w:p>
    <w:p w:rsidR="00073E78" w:rsidRPr="005F16CF" w:rsidRDefault="001D0370" w:rsidP="00BE5EBB">
      <w:pPr>
        <w:pStyle w:val="21"/>
        <w:topLinePunct/>
        <w:spacing w:after="0" w:line="360" w:lineRule="auto"/>
        <w:ind w:firstLine="142"/>
        <w:jc w:val="both"/>
        <w:rPr>
          <w:rFonts w:ascii="Times New Roman" w:hAnsi="Times New Roman" w:cs="Times New Roman"/>
          <w:kern w:val="0"/>
          <w:sz w:val="32"/>
          <w:szCs w:val="32"/>
        </w:rPr>
      </w:pPr>
      <w:r w:rsidRPr="005F16CF">
        <w:rPr>
          <w:rFonts w:ascii="Times New Roman" w:hAnsi="Times New Roman" w:cs="Times New Roman"/>
          <w:kern w:val="0"/>
          <w:sz w:val="32"/>
          <w:szCs w:val="32"/>
        </w:rPr>
        <w:t>Електронний кабінет має дві функціональні частини:</w:t>
      </w:r>
    </w:p>
    <w:p w:rsidR="00073E78" w:rsidRPr="005F16CF" w:rsidRDefault="001D0370" w:rsidP="00BE5EBB">
      <w:pPr>
        <w:pStyle w:val="21"/>
        <w:topLinePunct/>
        <w:spacing w:after="0" w:line="360" w:lineRule="auto"/>
        <w:ind w:firstLine="142"/>
        <w:jc w:val="both"/>
        <w:rPr>
          <w:rFonts w:ascii="Times New Roman" w:hAnsi="Times New Roman" w:cs="Times New Roman"/>
          <w:kern w:val="0"/>
          <w:sz w:val="32"/>
          <w:szCs w:val="32"/>
        </w:rPr>
      </w:pPr>
      <w:r w:rsidRPr="005F16CF">
        <w:rPr>
          <w:rFonts w:ascii="Times New Roman" w:hAnsi="Times New Roman" w:cs="Times New Roman"/>
          <w:kern w:val="0"/>
          <w:sz w:val="32"/>
          <w:szCs w:val="32"/>
        </w:rPr>
        <w:lastRenderedPageBreak/>
        <w:t>відкриту (загальнодоступну);</w:t>
      </w:r>
    </w:p>
    <w:p w:rsidR="00073E78" w:rsidRPr="005F16CF" w:rsidRDefault="001D0370" w:rsidP="00BE5EBB">
      <w:pPr>
        <w:pStyle w:val="21"/>
        <w:topLinePunct/>
        <w:spacing w:after="0" w:line="360" w:lineRule="auto"/>
        <w:ind w:firstLine="142"/>
        <w:jc w:val="both"/>
        <w:rPr>
          <w:rFonts w:ascii="Times New Roman" w:hAnsi="Times New Roman" w:cs="Times New Roman"/>
          <w:kern w:val="0"/>
          <w:sz w:val="32"/>
          <w:szCs w:val="32"/>
        </w:rPr>
      </w:pPr>
      <w:r w:rsidRPr="005F16CF">
        <w:rPr>
          <w:rFonts w:ascii="Times New Roman" w:hAnsi="Times New Roman" w:cs="Times New Roman"/>
          <w:kern w:val="0"/>
          <w:sz w:val="32"/>
          <w:szCs w:val="32"/>
        </w:rPr>
        <w:t>приватну (особистий кабінет).</w:t>
      </w:r>
    </w:p>
    <w:p w:rsidR="00073E78" w:rsidRPr="001D0370" w:rsidRDefault="001D0370" w:rsidP="00BE5EBB">
      <w:pPr>
        <w:shd w:val="clear" w:color="auto" w:fill="FFFFFF"/>
        <w:spacing w:after="0" w:line="360" w:lineRule="auto"/>
        <w:ind w:firstLine="142"/>
        <w:jc w:val="both"/>
        <w:rPr>
          <w:rFonts w:ascii="Times New Roman" w:hAnsi="Times New Roman" w:cs="Times New Roman"/>
          <w:sz w:val="32"/>
          <w:szCs w:val="32"/>
        </w:rPr>
      </w:pPr>
      <w:r w:rsidRPr="005F16CF">
        <w:rPr>
          <w:rFonts w:ascii="Times New Roman" w:hAnsi="Times New Roman" w:cs="Times New Roman"/>
          <w:sz w:val="32"/>
          <w:szCs w:val="32"/>
          <w:u w:val="single"/>
        </w:rPr>
        <w:t>У відкритій частині</w:t>
      </w:r>
      <w:r w:rsidRPr="001D0370">
        <w:rPr>
          <w:rFonts w:ascii="Times New Roman" w:hAnsi="Times New Roman" w:cs="Times New Roman"/>
          <w:sz w:val="32"/>
          <w:szCs w:val="32"/>
        </w:rPr>
        <w:t xml:space="preserve"> Електронного кабінету користувачі мають можливість отримувати інформацію, яка відповідно до законодавства є відкритою та підлягає оприлюдненню.</w:t>
      </w:r>
    </w:p>
    <w:p w:rsidR="00073E78" w:rsidRPr="001D0370" w:rsidRDefault="001D0370" w:rsidP="00BE5EBB">
      <w:pPr>
        <w:shd w:val="clear" w:color="auto" w:fill="FFFFFF"/>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 xml:space="preserve">Через </w:t>
      </w:r>
      <w:r w:rsidRPr="005F16CF">
        <w:rPr>
          <w:rFonts w:ascii="Times New Roman" w:hAnsi="Times New Roman" w:cs="Times New Roman"/>
          <w:sz w:val="32"/>
          <w:szCs w:val="32"/>
        </w:rPr>
        <w:t>відкриту (загальнодоступну)</w:t>
      </w:r>
      <w:r w:rsidRPr="001D0370">
        <w:rPr>
          <w:rFonts w:ascii="Times New Roman" w:hAnsi="Times New Roman" w:cs="Times New Roman"/>
          <w:sz w:val="32"/>
          <w:szCs w:val="32"/>
        </w:rPr>
        <w:t xml:space="preserve"> частину Електронного кабінету платник має можливість:</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скористатися інформацією публічних реєстрів (дані про взяття на облік платників податків; дані реєстру платників ПДВ; дані реєстру страхувальників; дані реєстру платників єдиного податку; дані реєстру платників акцизного податку з реалізації пального; дані реєстру неприбуткових установ та організацій тощо);</w:t>
      </w:r>
      <w:r w:rsidR="005F16CF">
        <w:rPr>
          <w:rFonts w:ascii="Times New Roman" w:hAnsi="Times New Roman" w:cs="Times New Roman"/>
          <w:sz w:val="32"/>
          <w:szCs w:val="32"/>
        </w:rPr>
        <w:t xml:space="preserve"> </w:t>
      </w:r>
      <w:r w:rsidRPr="001D0370">
        <w:rPr>
          <w:rFonts w:ascii="Times New Roman" w:hAnsi="Times New Roman" w:cs="Times New Roman"/>
          <w:sz w:val="32"/>
          <w:szCs w:val="32"/>
        </w:rPr>
        <w:t>пошуку фіскального чека, пошуку марки акцизного податку, ознайомлення з бланками податкової звітності;</w:t>
      </w:r>
      <w:r w:rsidR="005F16CF">
        <w:rPr>
          <w:rFonts w:ascii="Times New Roman" w:hAnsi="Times New Roman" w:cs="Times New Roman"/>
          <w:sz w:val="32"/>
          <w:szCs w:val="32"/>
        </w:rPr>
        <w:t xml:space="preserve"> </w:t>
      </w:r>
      <w:r w:rsidRPr="001D0370">
        <w:rPr>
          <w:rFonts w:ascii="Times New Roman" w:hAnsi="Times New Roman" w:cs="Times New Roman"/>
          <w:sz w:val="32"/>
          <w:szCs w:val="32"/>
        </w:rPr>
        <w:t>податковий календар та ін.</w:t>
      </w:r>
    </w:p>
    <w:p w:rsidR="00073E78" w:rsidRPr="005F16CF" w:rsidRDefault="001D0370" w:rsidP="00BE5EBB">
      <w:pPr>
        <w:pStyle w:val="af"/>
        <w:shd w:val="clear" w:color="auto" w:fill="FFFFFF"/>
        <w:spacing w:before="0" w:beforeAutospacing="0" w:after="0" w:afterAutospacing="0" w:line="360" w:lineRule="auto"/>
        <w:ind w:firstLine="142"/>
        <w:jc w:val="both"/>
        <w:rPr>
          <w:rFonts w:ascii="Times New Roman" w:hAnsi="Times New Roman" w:cs="Times New Roman"/>
          <w:sz w:val="32"/>
          <w:szCs w:val="32"/>
          <w:shd w:val="clear" w:color="auto" w:fill="FFFFFF"/>
        </w:rPr>
      </w:pPr>
      <w:r w:rsidRPr="005F16CF">
        <w:rPr>
          <w:rFonts w:ascii="Times New Roman" w:hAnsi="Times New Roman" w:cs="Times New Roman"/>
          <w:bCs/>
          <w:sz w:val="32"/>
          <w:szCs w:val="32"/>
        </w:rPr>
        <w:t>Слід зазначити, що н</w:t>
      </w:r>
      <w:r w:rsidRPr="005F16CF">
        <w:rPr>
          <w:rFonts w:ascii="Times New Roman" w:hAnsi="Times New Roman" w:cs="Times New Roman"/>
          <w:sz w:val="32"/>
          <w:szCs w:val="32"/>
          <w:shd w:val="clear" w:color="auto" w:fill="FFFFFF"/>
        </w:rPr>
        <w:t>а період дії воєнного стану обмежено доступ до публічних електронних реєстрів. Проте, доступ до певних реєстрів відновлено за умови ідентифікації особи, яка бажає отримати такі відомості, з використанням кваліфікованого електронного підпису.</w:t>
      </w:r>
    </w:p>
    <w:p w:rsidR="00073E78" w:rsidRPr="001D0370" w:rsidRDefault="00BE5EBB" w:rsidP="00BE5EBB">
      <w:pPr>
        <w:spacing w:after="0" w:line="360" w:lineRule="auto"/>
        <w:ind w:firstLine="142"/>
        <w:jc w:val="both"/>
        <w:rPr>
          <w:rFonts w:ascii="Times New Roman" w:hAnsi="Times New Roman" w:cs="Times New Roman"/>
          <w:sz w:val="32"/>
          <w:szCs w:val="32"/>
        </w:rPr>
      </w:pPr>
      <w:r>
        <w:rPr>
          <w:rFonts w:ascii="Times New Roman" w:hAnsi="Times New Roman" w:cs="Times New Roman"/>
          <w:sz w:val="32"/>
          <w:szCs w:val="32"/>
          <w:u w:val="single"/>
        </w:rPr>
        <w:t>В</w:t>
      </w:r>
      <w:r w:rsidR="001D0370" w:rsidRPr="005F16CF">
        <w:rPr>
          <w:rFonts w:ascii="Times New Roman" w:hAnsi="Times New Roman" w:cs="Times New Roman"/>
          <w:sz w:val="32"/>
          <w:szCs w:val="32"/>
          <w:u w:val="single"/>
        </w:rPr>
        <w:t xml:space="preserve"> приватній частині</w:t>
      </w:r>
      <w:r w:rsidR="001D0370" w:rsidRPr="001D0370">
        <w:rPr>
          <w:rFonts w:ascii="Times New Roman" w:hAnsi="Times New Roman" w:cs="Times New Roman"/>
          <w:sz w:val="32"/>
          <w:szCs w:val="32"/>
        </w:rPr>
        <w:t xml:space="preserve"> (особистому кабінеті) Електронного кабінету надано можливість:</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доступу до особистої інформації (реєстраційних та облікових даних);</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доступу до стану розрахунків з бюджетом;</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формування електронного витягу про стан розрахунків з бюджетом та фондами;</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lastRenderedPageBreak/>
        <w:t xml:space="preserve">електронного листування з органами ДПС; </w:t>
      </w:r>
    </w:p>
    <w:p w:rsidR="00073E78" w:rsidRPr="001D0370" w:rsidRDefault="001D0370" w:rsidP="00BE5EBB">
      <w:pPr>
        <w:spacing w:after="0" w:line="360" w:lineRule="auto"/>
        <w:ind w:firstLine="142"/>
        <w:jc w:val="both"/>
        <w:rPr>
          <w:rFonts w:ascii="Times New Roman" w:hAnsi="Times New Roman" w:cs="Times New Roman"/>
          <w:sz w:val="32"/>
          <w:szCs w:val="32"/>
        </w:rPr>
      </w:pPr>
      <w:r w:rsidRPr="001D0370">
        <w:rPr>
          <w:rFonts w:ascii="Times New Roman" w:hAnsi="Times New Roman" w:cs="Times New Roman"/>
          <w:sz w:val="32"/>
          <w:szCs w:val="32"/>
        </w:rPr>
        <w:t>подання звітності в електронному вигляді.</w:t>
      </w:r>
    </w:p>
    <w:p w:rsidR="00073E78" w:rsidRPr="00530BB2" w:rsidRDefault="001D0370" w:rsidP="00BE5EBB">
      <w:pPr>
        <w:spacing w:after="0" w:line="360" w:lineRule="auto"/>
        <w:ind w:firstLine="142"/>
        <w:jc w:val="both"/>
        <w:rPr>
          <w:rFonts w:ascii="Times New Roman" w:hAnsi="Times New Roman" w:cs="Times New Roman"/>
          <w:sz w:val="32"/>
          <w:szCs w:val="32"/>
          <w:shd w:val="clear" w:color="auto" w:fill="FFFFFF"/>
        </w:rPr>
      </w:pPr>
      <w:r w:rsidRPr="00530BB2">
        <w:rPr>
          <w:rFonts w:ascii="Times New Roman" w:hAnsi="Times New Roman" w:cs="Times New Roman"/>
          <w:b/>
          <w:bCs/>
          <w:spacing w:val="10"/>
          <w:sz w:val="32"/>
          <w:szCs w:val="32"/>
        </w:rPr>
        <w:t>Щодо подання звітності в електронному вигляді</w:t>
      </w:r>
      <w:r w:rsidRPr="00530BB2">
        <w:rPr>
          <w:rFonts w:ascii="Times New Roman" w:hAnsi="Times New Roman" w:cs="Times New Roman"/>
          <w:spacing w:val="10"/>
          <w:sz w:val="32"/>
          <w:szCs w:val="32"/>
        </w:rPr>
        <w:t xml:space="preserve"> - б</w:t>
      </w:r>
      <w:r w:rsidRPr="00530BB2">
        <w:rPr>
          <w:rFonts w:ascii="Times New Roman" w:hAnsi="Times New Roman" w:cs="Times New Roman"/>
          <w:sz w:val="32"/>
          <w:szCs w:val="32"/>
          <w:shd w:val="clear" w:color="auto" w:fill="FFFFFF"/>
        </w:rPr>
        <w:t>еззаперечними перевагами подання платниками податків звітності в електронному вигляді є вибір зручного для платника часу здачі звітності та економія часу на її подання, постійне оновлення програмного забезпечення відповідно до останніх змін у податковому законодавстві, арифметичний контроль показників звітності.</w:t>
      </w:r>
    </w:p>
    <w:p w:rsidR="00073E78" w:rsidRPr="00530BB2" w:rsidRDefault="001D0370" w:rsidP="00BE5EBB">
      <w:pPr>
        <w:spacing w:after="0" w:line="360" w:lineRule="auto"/>
        <w:ind w:firstLine="142"/>
        <w:jc w:val="both"/>
        <w:rPr>
          <w:rFonts w:ascii="Times New Roman" w:hAnsi="Times New Roman" w:cs="Times New Roman"/>
          <w:b/>
          <w:sz w:val="32"/>
          <w:szCs w:val="32"/>
        </w:rPr>
      </w:pPr>
      <w:r w:rsidRPr="00530BB2">
        <w:rPr>
          <w:rFonts w:ascii="Times New Roman" w:hAnsi="Times New Roman" w:cs="Times New Roman"/>
          <w:sz w:val="32"/>
          <w:szCs w:val="32"/>
          <w:lang w:val="ru-RU"/>
        </w:rPr>
        <w:t>Так, с</w:t>
      </w:r>
      <w:r w:rsidRPr="00530BB2">
        <w:rPr>
          <w:rFonts w:ascii="Times New Roman" w:hAnsi="Times New Roman" w:cs="Times New Roman"/>
          <w:sz w:val="32"/>
          <w:szCs w:val="32"/>
        </w:rPr>
        <w:t xml:space="preserve">таном на </w:t>
      </w:r>
      <w:r w:rsidRPr="00530BB2">
        <w:rPr>
          <w:rFonts w:ascii="Times New Roman" w:hAnsi="Times New Roman" w:cs="Times New Roman"/>
          <w:b/>
          <w:bCs/>
          <w:sz w:val="32"/>
          <w:szCs w:val="32"/>
        </w:rPr>
        <w:t>01.1</w:t>
      </w:r>
      <w:r w:rsidRPr="00530BB2">
        <w:rPr>
          <w:rFonts w:ascii="Times New Roman" w:hAnsi="Times New Roman" w:cs="Times New Roman"/>
          <w:b/>
          <w:bCs/>
          <w:sz w:val="32"/>
          <w:szCs w:val="32"/>
          <w:lang w:val="ru-RU"/>
        </w:rPr>
        <w:t>1</w:t>
      </w:r>
      <w:r w:rsidRPr="00530BB2">
        <w:rPr>
          <w:rFonts w:ascii="Times New Roman" w:hAnsi="Times New Roman" w:cs="Times New Roman"/>
          <w:b/>
          <w:bCs/>
          <w:sz w:val="32"/>
          <w:szCs w:val="32"/>
        </w:rPr>
        <w:t>.202</w:t>
      </w:r>
      <w:r w:rsidRPr="00530BB2">
        <w:rPr>
          <w:rFonts w:ascii="Times New Roman" w:hAnsi="Times New Roman" w:cs="Times New Roman"/>
          <w:b/>
          <w:bCs/>
          <w:sz w:val="32"/>
          <w:szCs w:val="32"/>
          <w:lang w:val="ru-RU"/>
        </w:rPr>
        <w:t>3</w:t>
      </w:r>
      <w:r w:rsidRPr="00530BB2">
        <w:rPr>
          <w:rFonts w:ascii="Times New Roman" w:hAnsi="Times New Roman" w:cs="Times New Roman"/>
          <w:sz w:val="32"/>
          <w:szCs w:val="32"/>
        </w:rPr>
        <w:t xml:space="preserve"> року частка податкових декларацій, що подані платниками за допомогою телекомунікаційного зв'язку,</w:t>
      </w:r>
      <w:r w:rsidRPr="00530BB2">
        <w:rPr>
          <w:rFonts w:ascii="Times New Roman" w:hAnsi="Times New Roman" w:cs="Times New Roman"/>
          <w:b/>
          <w:bCs/>
          <w:sz w:val="32"/>
          <w:szCs w:val="32"/>
        </w:rPr>
        <w:t xml:space="preserve"> </w:t>
      </w:r>
      <w:r w:rsidRPr="00530BB2">
        <w:rPr>
          <w:rFonts w:ascii="Times New Roman" w:hAnsi="Times New Roman" w:cs="Times New Roman"/>
          <w:sz w:val="32"/>
          <w:szCs w:val="32"/>
        </w:rPr>
        <w:t xml:space="preserve">склала - </w:t>
      </w:r>
      <w:r w:rsidRPr="00530BB2">
        <w:rPr>
          <w:rFonts w:ascii="Times New Roman" w:hAnsi="Times New Roman" w:cs="Times New Roman"/>
          <w:b/>
          <w:sz w:val="32"/>
          <w:szCs w:val="32"/>
        </w:rPr>
        <w:t>98,</w:t>
      </w:r>
      <w:r w:rsidRPr="00530BB2">
        <w:rPr>
          <w:rFonts w:ascii="Times New Roman" w:hAnsi="Times New Roman" w:cs="Times New Roman"/>
          <w:b/>
          <w:sz w:val="32"/>
          <w:szCs w:val="32"/>
          <w:lang w:val="ru-RU"/>
        </w:rPr>
        <w:t>6</w:t>
      </w:r>
      <w:r w:rsidRPr="00530BB2">
        <w:rPr>
          <w:rFonts w:ascii="Times New Roman" w:hAnsi="Times New Roman" w:cs="Times New Roman"/>
          <w:b/>
          <w:sz w:val="32"/>
          <w:szCs w:val="32"/>
        </w:rPr>
        <w:t>%</w:t>
      </w:r>
      <w:r w:rsidRPr="00530BB2">
        <w:rPr>
          <w:rFonts w:ascii="Times New Roman" w:hAnsi="Times New Roman" w:cs="Times New Roman"/>
          <w:sz w:val="32"/>
          <w:szCs w:val="32"/>
        </w:rPr>
        <w:t>, із них: з</w:t>
      </w:r>
      <w:r w:rsidRPr="00530BB2">
        <w:rPr>
          <w:rFonts w:ascii="Times New Roman" w:hAnsi="Times New Roman" w:cs="Times New Roman"/>
          <w:bCs/>
          <w:sz w:val="32"/>
          <w:szCs w:val="32"/>
        </w:rPr>
        <w:t xml:space="preserve">агальна кількість податкових декларацій, що подані юридичними особами - </w:t>
      </w:r>
      <w:r w:rsidRPr="00530BB2">
        <w:rPr>
          <w:rFonts w:ascii="Times New Roman" w:hAnsi="Times New Roman" w:cs="Times New Roman"/>
          <w:b/>
          <w:bCs/>
          <w:sz w:val="32"/>
          <w:szCs w:val="32"/>
        </w:rPr>
        <w:t>99,</w:t>
      </w:r>
      <w:r w:rsidRPr="00530BB2">
        <w:rPr>
          <w:rFonts w:ascii="Times New Roman" w:hAnsi="Times New Roman" w:cs="Times New Roman"/>
          <w:b/>
          <w:bCs/>
          <w:sz w:val="32"/>
          <w:szCs w:val="32"/>
          <w:lang w:val="ru-RU"/>
        </w:rPr>
        <w:t>2</w:t>
      </w:r>
      <w:r w:rsidRPr="00530BB2">
        <w:rPr>
          <w:rFonts w:ascii="Times New Roman" w:hAnsi="Times New Roman" w:cs="Times New Roman"/>
          <w:b/>
          <w:sz w:val="32"/>
          <w:szCs w:val="32"/>
        </w:rPr>
        <w:t>%</w:t>
      </w:r>
      <w:r w:rsidRPr="00530BB2">
        <w:rPr>
          <w:rFonts w:ascii="Times New Roman" w:hAnsi="Times New Roman" w:cs="Times New Roman"/>
          <w:bCs/>
          <w:sz w:val="32"/>
          <w:szCs w:val="32"/>
        </w:rPr>
        <w:t>, фізичними особами-підприємцями –</w:t>
      </w:r>
      <w:r w:rsidRPr="00530BB2">
        <w:rPr>
          <w:rFonts w:ascii="Times New Roman" w:hAnsi="Times New Roman" w:cs="Times New Roman"/>
          <w:b/>
          <w:sz w:val="32"/>
          <w:szCs w:val="32"/>
        </w:rPr>
        <w:t xml:space="preserve"> </w:t>
      </w:r>
      <w:r w:rsidRPr="00530BB2">
        <w:rPr>
          <w:rFonts w:ascii="Times New Roman" w:hAnsi="Times New Roman" w:cs="Times New Roman"/>
          <w:b/>
          <w:sz w:val="32"/>
          <w:szCs w:val="32"/>
          <w:lang w:val="ru-RU"/>
        </w:rPr>
        <w:t>99,6</w:t>
      </w:r>
      <w:r w:rsidRPr="00530BB2">
        <w:rPr>
          <w:rFonts w:ascii="Times New Roman" w:hAnsi="Times New Roman" w:cs="Times New Roman"/>
          <w:b/>
          <w:sz w:val="32"/>
          <w:szCs w:val="32"/>
        </w:rPr>
        <w:t xml:space="preserve">% </w:t>
      </w:r>
      <w:r w:rsidRPr="00530BB2">
        <w:rPr>
          <w:rFonts w:ascii="Times New Roman" w:hAnsi="Times New Roman" w:cs="Times New Roman"/>
          <w:sz w:val="32"/>
          <w:szCs w:val="32"/>
        </w:rPr>
        <w:t>та громадянами</w:t>
      </w:r>
      <w:r w:rsidRPr="00530BB2">
        <w:rPr>
          <w:rFonts w:ascii="Times New Roman" w:hAnsi="Times New Roman" w:cs="Times New Roman"/>
          <w:b/>
          <w:sz w:val="32"/>
          <w:szCs w:val="32"/>
        </w:rPr>
        <w:t xml:space="preserve"> – 8</w:t>
      </w:r>
      <w:r w:rsidRPr="00530BB2">
        <w:rPr>
          <w:rFonts w:ascii="Times New Roman" w:hAnsi="Times New Roman" w:cs="Times New Roman"/>
          <w:b/>
          <w:sz w:val="32"/>
          <w:szCs w:val="32"/>
          <w:lang w:val="ru-RU"/>
        </w:rPr>
        <w:t>5,3</w:t>
      </w:r>
      <w:r w:rsidRPr="00530BB2">
        <w:rPr>
          <w:rFonts w:ascii="Times New Roman" w:hAnsi="Times New Roman" w:cs="Times New Roman"/>
          <w:b/>
          <w:sz w:val="32"/>
          <w:szCs w:val="32"/>
        </w:rPr>
        <w:t>%.</w:t>
      </w:r>
    </w:p>
    <w:p w:rsidR="00073E78" w:rsidRPr="00BE5EBB" w:rsidRDefault="001D0370" w:rsidP="00BE5EBB">
      <w:pPr>
        <w:pStyle w:val="af"/>
        <w:spacing w:before="0" w:beforeAutospacing="0" w:after="0" w:afterAutospacing="0" w:line="360" w:lineRule="auto"/>
        <w:ind w:firstLine="142"/>
        <w:jc w:val="both"/>
        <w:rPr>
          <w:rFonts w:ascii="Times New Roman" w:hAnsi="Times New Roman" w:cs="Times New Roman"/>
          <w:b/>
          <w:bCs/>
          <w:sz w:val="32"/>
          <w:szCs w:val="32"/>
        </w:rPr>
      </w:pPr>
      <w:r w:rsidRPr="00BE5EBB">
        <w:rPr>
          <w:rFonts w:ascii="Times New Roman" w:hAnsi="Times New Roman" w:cs="Times New Roman"/>
          <w:b/>
          <w:bCs/>
          <w:sz w:val="32"/>
          <w:szCs w:val="32"/>
        </w:rPr>
        <w:t>ДІЯ</w:t>
      </w:r>
    </w:p>
    <w:p w:rsidR="00073E78" w:rsidRPr="00BE5EBB" w:rsidRDefault="001D0370" w:rsidP="00BE5EBB">
      <w:pPr>
        <w:pStyle w:val="af"/>
        <w:spacing w:before="0" w:beforeAutospacing="0" w:after="0" w:afterAutospacing="0" w:line="360" w:lineRule="auto"/>
        <w:ind w:firstLine="142"/>
        <w:jc w:val="both"/>
        <w:rPr>
          <w:rFonts w:ascii="Times New Roman" w:hAnsi="Times New Roman" w:cs="Times New Roman"/>
          <w:sz w:val="32"/>
          <w:szCs w:val="32"/>
        </w:rPr>
      </w:pPr>
      <w:r w:rsidRPr="00BE5EBB">
        <w:rPr>
          <w:rFonts w:ascii="Times New Roman" w:hAnsi="Times New Roman" w:cs="Times New Roman"/>
          <w:sz w:val="32"/>
          <w:szCs w:val="32"/>
          <w:lang w:val="ru-RU"/>
        </w:rPr>
        <w:t>В</w:t>
      </w:r>
      <w:r w:rsidRPr="00BE5EBB">
        <w:rPr>
          <w:rFonts w:ascii="Times New Roman" w:hAnsi="Times New Roman" w:cs="Times New Roman"/>
          <w:sz w:val="32"/>
          <w:szCs w:val="32"/>
        </w:rPr>
        <w:t>сі ініціативи, які дозволяють полегшити платникам податків (громадянам) процес отримання послуг, завжди підтримуються Державною податковою службою.</w:t>
      </w:r>
    </w:p>
    <w:p w:rsidR="00073E78" w:rsidRPr="00BE5EBB" w:rsidRDefault="001D0370" w:rsidP="00BE5EBB">
      <w:pPr>
        <w:spacing w:after="0" w:line="360" w:lineRule="auto"/>
        <w:ind w:firstLine="142"/>
        <w:jc w:val="both"/>
        <w:rPr>
          <w:rFonts w:ascii="Times New Roman" w:hAnsi="Times New Roman" w:cs="Times New Roman"/>
          <w:sz w:val="32"/>
          <w:szCs w:val="32"/>
        </w:rPr>
      </w:pPr>
      <w:r w:rsidRPr="00BE5EBB">
        <w:rPr>
          <w:rFonts w:ascii="Times New Roman" w:hAnsi="Times New Roman" w:cs="Times New Roman"/>
          <w:sz w:val="32"/>
          <w:szCs w:val="32"/>
        </w:rPr>
        <w:t xml:space="preserve">Запроваджено </w:t>
      </w:r>
      <w:r w:rsidRPr="00BE5EBB">
        <w:rPr>
          <w:rFonts w:ascii="Times New Roman" w:hAnsi="Times New Roman" w:cs="Times New Roman"/>
          <w:b/>
          <w:bCs/>
          <w:sz w:val="32"/>
          <w:szCs w:val="32"/>
        </w:rPr>
        <w:t xml:space="preserve">електронний реєстраційний номер платника податків </w:t>
      </w:r>
      <w:r w:rsidRPr="00BE5EBB">
        <w:rPr>
          <w:rFonts w:ascii="Times New Roman" w:hAnsi="Times New Roman" w:cs="Times New Roman"/>
          <w:sz w:val="32"/>
          <w:szCs w:val="32"/>
        </w:rPr>
        <w:t xml:space="preserve">(РНОКПП) (так званий податковий </w:t>
      </w:r>
      <w:r w:rsidR="00530BB2" w:rsidRPr="00BE5EBB">
        <w:rPr>
          <w:rFonts w:ascii="Times New Roman" w:hAnsi="Times New Roman" w:cs="Times New Roman"/>
          <w:sz w:val="32"/>
          <w:szCs w:val="32"/>
        </w:rPr>
        <w:t>номер) у мобільному додатку ДІЯ,</w:t>
      </w:r>
      <w:r w:rsidRPr="00BE5EBB">
        <w:rPr>
          <w:rFonts w:ascii="Times New Roman" w:hAnsi="Times New Roman" w:cs="Times New Roman"/>
          <w:sz w:val="32"/>
          <w:szCs w:val="32"/>
        </w:rPr>
        <w:t xml:space="preserve"> який є цифровим аналогом паперового податкового номера – наразі понад 5 млн. осіб скористались такою послугою.</w:t>
      </w:r>
    </w:p>
    <w:p w:rsidR="00073E78" w:rsidRPr="00BE5EBB" w:rsidRDefault="001D0370" w:rsidP="00BE5EBB">
      <w:pPr>
        <w:spacing w:after="0" w:line="360" w:lineRule="auto"/>
        <w:ind w:firstLine="142"/>
        <w:jc w:val="both"/>
        <w:rPr>
          <w:rFonts w:ascii="Times New Roman" w:hAnsi="Times New Roman" w:cs="Times New Roman"/>
          <w:sz w:val="32"/>
          <w:szCs w:val="32"/>
        </w:rPr>
      </w:pPr>
      <w:r w:rsidRPr="00BE5EBB">
        <w:rPr>
          <w:rFonts w:ascii="Times New Roman" w:hAnsi="Times New Roman" w:cs="Times New Roman"/>
          <w:sz w:val="32"/>
          <w:szCs w:val="32"/>
        </w:rPr>
        <w:t xml:space="preserve">Відтепер цифровий номер платника податків у додатку ДІЯ, на ІD-картці та свідоцтві про народження мають таку ж юридичну силу, як і </w:t>
      </w:r>
      <w:r w:rsidRPr="00BE5EBB">
        <w:rPr>
          <w:rFonts w:ascii="Times New Roman" w:hAnsi="Times New Roman" w:cs="Times New Roman"/>
          <w:sz w:val="32"/>
          <w:szCs w:val="32"/>
        </w:rPr>
        <w:lastRenderedPageBreak/>
        <w:t xml:space="preserve">Картка платника податків (документ, що засвідчує реєстрацію особи в Державному реєстрі фізичних осіб (ДРФО)). </w:t>
      </w:r>
    </w:p>
    <w:p w:rsidR="00073E78" w:rsidRPr="005F16CF" w:rsidRDefault="00073E78" w:rsidP="00BE5EBB">
      <w:pPr>
        <w:spacing w:after="0" w:line="360" w:lineRule="auto"/>
        <w:ind w:firstLine="142"/>
        <w:jc w:val="both"/>
        <w:rPr>
          <w:rFonts w:ascii="Times New Roman" w:hAnsi="Times New Roman" w:cs="Times New Roman"/>
          <w:sz w:val="32"/>
          <w:szCs w:val="32"/>
        </w:rPr>
      </w:pPr>
    </w:p>
    <w:sectPr w:rsidR="00073E78" w:rsidRPr="005F16CF">
      <w:pgSz w:w="12240" w:h="15840"/>
      <w:pgMar w:top="1134" w:right="567" w:bottom="115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073E78"/>
    <w:rsid w:val="00073E78"/>
    <w:rsid w:val="000B5904"/>
    <w:rsid w:val="001D0370"/>
    <w:rsid w:val="00530BB2"/>
    <w:rsid w:val="005F16CF"/>
    <w:rsid w:val="00931BD5"/>
    <w:rsid w:val="00BE5EBB"/>
    <w:rsid w:val="00C7778F"/>
    <w:rsid w:val="00CF1D6F"/>
    <w:rsid w:val="00D05C69"/>
    <w:rsid w:val="00DC5C15"/>
    <w:rsid w:val="013B610E"/>
    <w:rsid w:val="05616F88"/>
    <w:rsid w:val="074539CF"/>
    <w:rsid w:val="083D78AF"/>
    <w:rsid w:val="09E57E6F"/>
    <w:rsid w:val="0A677B61"/>
    <w:rsid w:val="0CAC6642"/>
    <w:rsid w:val="0D71387B"/>
    <w:rsid w:val="0E991CBE"/>
    <w:rsid w:val="10720760"/>
    <w:rsid w:val="10F96881"/>
    <w:rsid w:val="11750863"/>
    <w:rsid w:val="141428FA"/>
    <w:rsid w:val="14780A49"/>
    <w:rsid w:val="17473CF9"/>
    <w:rsid w:val="1A972885"/>
    <w:rsid w:val="1C44314C"/>
    <w:rsid w:val="1E294526"/>
    <w:rsid w:val="1E8F6054"/>
    <w:rsid w:val="20392824"/>
    <w:rsid w:val="20A81C12"/>
    <w:rsid w:val="213F69E0"/>
    <w:rsid w:val="2201228F"/>
    <w:rsid w:val="260D174F"/>
    <w:rsid w:val="26280DE5"/>
    <w:rsid w:val="289E7283"/>
    <w:rsid w:val="2B0B0B17"/>
    <w:rsid w:val="2B1E3CEA"/>
    <w:rsid w:val="2B7A05D7"/>
    <w:rsid w:val="2B8F569C"/>
    <w:rsid w:val="2C8D72AA"/>
    <w:rsid w:val="2E780AFF"/>
    <w:rsid w:val="2EF025D4"/>
    <w:rsid w:val="2F5D46C3"/>
    <w:rsid w:val="2FB87239"/>
    <w:rsid w:val="2FE14ED2"/>
    <w:rsid w:val="30876A47"/>
    <w:rsid w:val="326D0F87"/>
    <w:rsid w:val="33BA3119"/>
    <w:rsid w:val="347B6CDA"/>
    <w:rsid w:val="352A4023"/>
    <w:rsid w:val="359E119B"/>
    <w:rsid w:val="383B0ED0"/>
    <w:rsid w:val="38987301"/>
    <w:rsid w:val="38FA5B46"/>
    <w:rsid w:val="3903182F"/>
    <w:rsid w:val="3A273E6A"/>
    <w:rsid w:val="3B2E35A0"/>
    <w:rsid w:val="3C340B13"/>
    <w:rsid w:val="3C4D6990"/>
    <w:rsid w:val="3C711199"/>
    <w:rsid w:val="3DAB4C0E"/>
    <w:rsid w:val="3F0A59F2"/>
    <w:rsid w:val="4376099B"/>
    <w:rsid w:val="437F5FBD"/>
    <w:rsid w:val="43D76E25"/>
    <w:rsid w:val="48516BF1"/>
    <w:rsid w:val="4A3466DD"/>
    <w:rsid w:val="4AD108E5"/>
    <w:rsid w:val="4D91621E"/>
    <w:rsid w:val="4F4D4A58"/>
    <w:rsid w:val="4F5048DA"/>
    <w:rsid w:val="508E540F"/>
    <w:rsid w:val="50B60227"/>
    <w:rsid w:val="50CF4966"/>
    <w:rsid w:val="524E12DF"/>
    <w:rsid w:val="524E730E"/>
    <w:rsid w:val="57127AB9"/>
    <w:rsid w:val="57BB30F7"/>
    <w:rsid w:val="592F103E"/>
    <w:rsid w:val="5A4A6047"/>
    <w:rsid w:val="5BC3769B"/>
    <w:rsid w:val="5DF050DB"/>
    <w:rsid w:val="5E975A17"/>
    <w:rsid w:val="5FAC2532"/>
    <w:rsid w:val="607868AF"/>
    <w:rsid w:val="60E11795"/>
    <w:rsid w:val="62E861B3"/>
    <w:rsid w:val="63D55C4F"/>
    <w:rsid w:val="64954B47"/>
    <w:rsid w:val="657A7F55"/>
    <w:rsid w:val="66212479"/>
    <w:rsid w:val="66FC04F8"/>
    <w:rsid w:val="67374576"/>
    <w:rsid w:val="686E4772"/>
    <w:rsid w:val="698C315A"/>
    <w:rsid w:val="6B435472"/>
    <w:rsid w:val="6B9069FB"/>
    <w:rsid w:val="6DCD5CF8"/>
    <w:rsid w:val="6E701828"/>
    <w:rsid w:val="71B303C6"/>
    <w:rsid w:val="73894666"/>
    <w:rsid w:val="73C8039F"/>
    <w:rsid w:val="7596064A"/>
    <w:rsid w:val="75CD13CA"/>
    <w:rsid w:val="76E070ED"/>
    <w:rsid w:val="76F906FD"/>
    <w:rsid w:val="77C46BE0"/>
    <w:rsid w:val="795E75A2"/>
    <w:rsid w:val="7A3677E3"/>
    <w:rsid w:val="7BA8576F"/>
    <w:rsid w:val="7BED0342"/>
    <w:rsid w:val="7C724934"/>
    <w:rsid w:val="7E5228CB"/>
    <w:rsid w:val="7F177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30A6"/>
  <w15:docId w15:val="{8D026544-1AAD-4B67-83D6-66370A75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semiHidden="1" w:uiPriority="99" w:unhideWhenUsed="1" w:qFormat="1"/>
    <w:lsdException w:name="endnote reference" w:semiHidden="1" w:uiPriority="99" w:unhideWhenUsed="1" w:qFormat="1"/>
    <w:lsdException w:name="endnote text" w:semiHidden="1" w:uiPriority="99" w:unhideWhenUsed="1"/>
    <w:lsdException w:name="Title" w:uiPriority="10" w:qFormat="1"/>
    <w:lsdException w:name="Default Paragraph Font" w:semiHidden="1" w:uiPriority="1" w:unhideWhenUsed="1" w:qFormat="1"/>
    <w:lsdException w:name="Subtitle" w:uiPriority="11" w:qFormat="1"/>
    <w:lsdException w:name="Body Text 2" w:uiPriority="99" w:unhideWhenUsed="1" w:qFormat="1"/>
    <w:lsdException w:name="Hyperlink" w:uiPriority="99" w:unhideWhenUsed="1" w:qFormat="1"/>
    <w:lsdException w:name="Strong" w:uiPriority="22" w:qFormat="1"/>
    <w:lsdException w:name="Emphasis" w:uiPriority="20"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Bid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uiPriority w:val="99"/>
    <w:unhideWhenUsed/>
    <w:qFormat/>
    <w:pPr>
      <w:suppressAutoHyphens/>
      <w:spacing w:after="120"/>
    </w:pPr>
    <w:rPr>
      <w:rFonts w:ascii="Lucida Sans Unicode"/>
      <w:kern w:val="1"/>
      <w:sz w:val="24"/>
    </w:rPr>
  </w:style>
  <w:style w:type="paragraph" w:styleId="a3">
    <w:name w:val="Plain Text"/>
    <w:basedOn w:val="a"/>
    <w:link w:val="a4"/>
    <w:uiPriority w:val="99"/>
    <w:semiHidden/>
    <w:unhideWhenUsed/>
    <w:qFormat/>
    <w:pPr>
      <w:spacing w:after="0" w:line="240" w:lineRule="auto"/>
    </w:pPr>
    <w:rPr>
      <w:rFonts w:ascii="Courier New" w:hAnsi="Courier New" w:cs="Courier New"/>
      <w:sz w:val="21"/>
      <w:szCs w:val="21"/>
    </w:rPr>
  </w:style>
  <w:style w:type="paragraph" w:styleId="a5">
    <w:name w:val="endnote text"/>
    <w:basedOn w:val="a"/>
    <w:link w:val="a6"/>
    <w:uiPriority w:val="99"/>
    <w:semiHidden/>
    <w:unhideWhenUsed/>
    <w:pPr>
      <w:spacing w:after="0" w:line="240" w:lineRule="auto"/>
    </w:pPr>
    <w:rPr>
      <w:sz w:val="20"/>
      <w:szCs w:val="20"/>
    </w:rPr>
  </w:style>
  <w:style w:type="paragraph" w:styleId="a7">
    <w:name w:val="footnote text"/>
    <w:basedOn w:val="a"/>
    <w:link w:val="a8"/>
    <w:uiPriority w:val="99"/>
    <w:semiHidden/>
    <w:unhideWhenUsed/>
    <w:qFormat/>
    <w:pPr>
      <w:spacing w:after="0" w:line="240" w:lineRule="auto"/>
    </w:pPr>
    <w:rPr>
      <w:sz w:val="20"/>
      <w:szCs w:val="20"/>
    </w:rPr>
  </w:style>
  <w:style w:type="paragraph" w:styleId="a9">
    <w:name w:val="header"/>
    <w:basedOn w:val="a"/>
    <w:link w:val="aa"/>
    <w:uiPriority w:val="99"/>
    <w:unhideWhenUsed/>
    <w:qFormat/>
    <w:pPr>
      <w:spacing w:after="0" w:line="240" w:lineRule="auto"/>
    </w:pPr>
  </w:style>
  <w:style w:type="paragraph" w:styleId="ab">
    <w:name w:val="Title"/>
    <w:basedOn w:val="a"/>
    <w:next w:val="a"/>
    <w:link w:val="ac"/>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d">
    <w:name w:val="footer"/>
    <w:basedOn w:val="a"/>
    <w:link w:val="ae"/>
    <w:uiPriority w:val="99"/>
    <w:unhideWhenUsed/>
    <w:qFormat/>
    <w:pPr>
      <w:spacing w:after="0" w:line="240" w:lineRule="auto"/>
    </w:pPr>
  </w:style>
  <w:style w:type="paragraph" w:styleId="af">
    <w:name w:val="Normal (Web)"/>
    <w:basedOn w:val="a"/>
    <w:qFormat/>
    <w:pPr>
      <w:spacing w:before="100" w:beforeAutospacing="1" w:after="100" w:afterAutospacing="1"/>
    </w:pPr>
  </w:style>
  <w:style w:type="paragraph" w:styleId="af0">
    <w:name w:val="Subtitle"/>
    <w:basedOn w:val="a"/>
    <w:next w:val="a"/>
    <w:link w:val="af1"/>
    <w:uiPriority w:val="11"/>
    <w:qFormat/>
    <w:rPr>
      <w:rFonts w:asciiTheme="majorHAnsi" w:eastAsiaTheme="majorEastAsia" w:hAnsiTheme="majorHAnsi" w:cstheme="majorBidi"/>
      <w:i/>
      <w:iCs/>
      <w:color w:val="4472C4" w:themeColor="accent1"/>
      <w:spacing w:val="15"/>
      <w:sz w:val="24"/>
      <w:szCs w:val="24"/>
    </w:rPr>
  </w:style>
  <w:style w:type="character" w:styleId="af2">
    <w:name w:val="footnote reference"/>
    <w:basedOn w:val="a0"/>
    <w:uiPriority w:val="99"/>
    <w:semiHidden/>
    <w:unhideWhenUsed/>
    <w:qFormat/>
    <w:rPr>
      <w:vertAlign w:val="superscript"/>
    </w:rPr>
  </w:style>
  <w:style w:type="character" w:styleId="af3">
    <w:name w:val="endnote reference"/>
    <w:basedOn w:val="a0"/>
    <w:uiPriority w:val="99"/>
    <w:semiHidden/>
    <w:unhideWhenUsed/>
    <w:qFormat/>
    <w:rPr>
      <w:vertAlign w:val="superscript"/>
    </w:rPr>
  </w:style>
  <w:style w:type="character" w:styleId="af4">
    <w:name w:val="Emphasis"/>
    <w:basedOn w:val="a0"/>
    <w:uiPriority w:val="20"/>
    <w:qFormat/>
    <w:rPr>
      <w:i/>
      <w:iCs/>
    </w:rPr>
  </w:style>
  <w:style w:type="character" w:styleId="af5">
    <w:name w:val="Hyperlink"/>
    <w:basedOn w:val="a0"/>
    <w:uiPriority w:val="99"/>
    <w:unhideWhenUsed/>
    <w:qFormat/>
    <w:rPr>
      <w:color w:val="0563C1" w:themeColor="hyperlink"/>
      <w:u w:val="single"/>
    </w:rPr>
  </w:style>
  <w:style w:type="character" w:styleId="af6">
    <w:name w:val="Strong"/>
    <w:basedOn w:val="a0"/>
    <w:uiPriority w:val="22"/>
    <w:qFormat/>
    <w:rPr>
      <w:b/>
      <w:bCs/>
    </w:rPr>
  </w:style>
  <w:style w:type="paragraph" w:styleId="af7">
    <w:name w:val="No Spacing"/>
    <w:uiPriority w:val="1"/>
    <w:qFormat/>
    <w:pPr>
      <w:spacing w:after="0" w:line="240" w:lineRule="auto"/>
    </w:pPr>
    <w:rPr>
      <w:rFonts w:asciiTheme="minorHAnsi" w:eastAsiaTheme="minorEastAsia" w:hAnsiTheme="minorBidi" w:cstheme="minorBidi"/>
      <w:sz w:val="22"/>
      <w:szCs w:val="22"/>
    </w:rPr>
  </w:style>
  <w:style w:type="character" w:customStyle="1" w:styleId="10">
    <w:name w:val="Заголовок 1 Знак"/>
    <w:basedOn w:val="a0"/>
    <w:link w:val="1"/>
    <w:uiPriority w:val="9"/>
    <w:qFormat/>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qFormat/>
    <w:rPr>
      <w:rFonts w:asciiTheme="majorHAnsi" w:eastAsiaTheme="majorEastAsia" w:hAnsiTheme="majorHAnsi" w:cstheme="majorBidi"/>
      <w:color w:val="1F3864" w:themeColor="accent1" w:themeShade="80"/>
    </w:rPr>
  </w:style>
  <w:style w:type="character" w:customStyle="1" w:styleId="60">
    <w:name w:val="Заголовок 6 Знак"/>
    <w:basedOn w:val="a0"/>
    <w:link w:val="6"/>
    <w:uiPriority w:val="9"/>
    <w:qFormat/>
    <w:rPr>
      <w:rFonts w:asciiTheme="majorHAnsi" w:eastAsiaTheme="majorEastAsia" w:hAnsiTheme="majorHAnsi" w:cstheme="majorBidi"/>
      <w:i/>
      <w:iCs/>
      <w:color w:val="1F3864" w:themeColor="accent1" w:themeShade="80"/>
    </w:r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c">
    <w:name w:val="Заголовок Знак"/>
    <w:basedOn w:val="a0"/>
    <w:link w:val="ab"/>
    <w:uiPriority w:val="10"/>
    <w:qFormat/>
    <w:rPr>
      <w:rFonts w:asciiTheme="majorHAnsi" w:eastAsiaTheme="majorEastAsia" w:hAnsiTheme="majorHAnsi" w:cstheme="majorBidi"/>
      <w:color w:val="323E4F" w:themeColor="text2" w:themeShade="BF"/>
      <w:spacing w:val="5"/>
      <w:sz w:val="52"/>
      <w:szCs w:val="52"/>
    </w:rPr>
  </w:style>
  <w:style w:type="character" w:customStyle="1" w:styleId="af1">
    <w:name w:val="Подзаголовок Знак"/>
    <w:basedOn w:val="a0"/>
    <w:link w:val="af0"/>
    <w:uiPriority w:val="11"/>
    <w:qFormat/>
    <w:rPr>
      <w:rFonts w:asciiTheme="majorHAnsi" w:eastAsiaTheme="majorEastAsia" w:hAnsiTheme="majorHAnsi" w:cstheme="majorBidi"/>
      <w:i/>
      <w:iCs/>
      <w:color w:val="4472C4" w:themeColor="accent1"/>
      <w:spacing w:val="15"/>
      <w:sz w:val="24"/>
      <w:szCs w:val="24"/>
    </w:rPr>
  </w:style>
  <w:style w:type="character" w:customStyle="1" w:styleId="11">
    <w:name w:val="Слабое выделение1"/>
    <w:basedOn w:val="a0"/>
    <w:uiPriority w:val="19"/>
    <w:qFormat/>
    <w:rPr>
      <w:i/>
      <w:iCs/>
      <w:color w:val="7F7F7F" w:themeColor="text1" w:themeTint="80"/>
    </w:rPr>
  </w:style>
  <w:style w:type="character" w:customStyle="1" w:styleId="12">
    <w:name w:val="Сильное выделение1"/>
    <w:basedOn w:val="a0"/>
    <w:uiPriority w:val="21"/>
    <w:qFormat/>
    <w:rPr>
      <w:b/>
      <w:bCs/>
      <w:i/>
      <w:iCs/>
      <w:color w:val="4472C4" w:themeColor="accent1"/>
    </w:rPr>
  </w:style>
  <w:style w:type="paragraph" w:styleId="22">
    <w:name w:val="Quote"/>
    <w:basedOn w:val="a"/>
    <w:next w:val="a"/>
    <w:link w:val="23"/>
    <w:uiPriority w:val="29"/>
    <w:qFormat/>
    <w:rPr>
      <w:i/>
      <w:iCs/>
      <w:color w:val="000000" w:themeColor="text1"/>
    </w:rPr>
  </w:style>
  <w:style w:type="character" w:customStyle="1" w:styleId="23">
    <w:name w:val="Цитата 2 Знак"/>
    <w:basedOn w:val="a0"/>
    <w:link w:val="22"/>
    <w:uiPriority w:val="29"/>
    <w:qFormat/>
    <w:rPr>
      <w:i/>
      <w:iCs/>
      <w:color w:val="000000" w:themeColor="text1"/>
    </w:rPr>
  </w:style>
  <w:style w:type="paragraph" w:styleId="af8">
    <w:name w:val="Intense Quote"/>
    <w:basedOn w:val="a"/>
    <w:next w:val="a"/>
    <w:link w:val="af9"/>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9">
    <w:name w:val="Выделенная цитата Знак"/>
    <w:basedOn w:val="a0"/>
    <w:link w:val="af8"/>
    <w:uiPriority w:val="30"/>
    <w:qFormat/>
    <w:rPr>
      <w:b/>
      <w:bCs/>
      <w:i/>
      <w:iCs/>
      <w:color w:val="4472C4" w:themeColor="accent1"/>
    </w:rPr>
  </w:style>
  <w:style w:type="character" w:customStyle="1" w:styleId="13">
    <w:name w:val="Слабая ссылка1"/>
    <w:basedOn w:val="a0"/>
    <w:uiPriority w:val="31"/>
    <w:qFormat/>
    <w:rPr>
      <w:smallCaps/>
      <w:color w:val="ED7D31" w:themeColor="accent2"/>
      <w:u w:val="single"/>
    </w:rPr>
  </w:style>
  <w:style w:type="character" w:customStyle="1" w:styleId="14">
    <w:name w:val="Сильная ссылка1"/>
    <w:basedOn w:val="a0"/>
    <w:uiPriority w:val="32"/>
    <w:qFormat/>
    <w:rPr>
      <w:b/>
      <w:bCs/>
      <w:smallCaps/>
      <w:color w:val="ED7D31" w:themeColor="accent2"/>
      <w:spacing w:val="5"/>
      <w:u w:val="single"/>
    </w:rPr>
  </w:style>
  <w:style w:type="character" w:customStyle="1" w:styleId="15">
    <w:name w:val="Название книги1"/>
    <w:basedOn w:val="a0"/>
    <w:uiPriority w:val="33"/>
    <w:qFormat/>
    <w:rPr>
      <w:b/>
      <w:bCs/>
      <w:smallCaps/>
      <w:spacing w:val="5"/>
    </w:rPr>
  </w:style>
  <w:style w:type="paragraph" w:styleId="afa">
    <w:name w:val="List Paragraph"/>
    <w:basedOn w:val="a"/>
    <w:uiPriority w:val="34"/>
    <w:qFormat/>
    <w:pPr>
      <w:ind w:left="720"/>
      <w:contextualSpacing/>
    </w:pPr>
  </w:style>
  <w:style w:type="character" w:customStyle="1" w:styleId="a8">
    <w:name w:val="Текст сноски Знак"/>
    <w:basedOn w:val="a0"/>
    <w:link w:val="a7"/>
    <w:uiPriority w:val="99"/>
    <w:semiHidden/>
    <w:qFormat/>
    <w:rPr>
      <w:sz w:val="20"/>
      <w:szCs w:val="20"/>
    </w:rPr>
  </w:style>
  <w:style w:type="character" w:customStyle="1" w:styleId="a6">
    <w:name w:val="Текст концевой сноски Знак"/>
    <w:basedOn w:val="a0"/>
    <w:link w:val="a5"/>
    <w:uiPriority w:val="99"/>
    <w:semiHidden/>
    <w:qFormat/>
    <w:rPr>
      <w:sz w:val="20"/>
      <w:szCs w:val="20"/>
    </w:rPr>
  </w:style>
  <w:style w:type="character" w:customStyle="1" w:styleId="a4">
    <w:name w:val="Текст Знак"/>
    <w:basedOn w:val="a0"/>
    <w:link w:val="a3"/>
    <w:uiPriority w:val="99"/>
    <w:qFormat/>
    <w:rPr>
      <w:rFonts w:ascii="Courier New" w:hAnsi="Courier New" w:cs="Courier New"/>
      <w:sz w:val="21"/>
      <w:szCs w:val="21"/>
    </w:rPr>
  </w:style>
  <w:style w:type="character" w:customStyle="1" w:styleId="aa">
    <w:name w:val="Верхний колонтитул Знак"/>
    <w:basedOn w:val="a0"/>
    <w:link w:val="a9"/>
    <w:uiPriority w:val="99"/>
    <w:qFormat/>
  </w:style>
  <w:style w:type="character" w:customStyle="1" w:styleId="ae">
    <w:name w:val="Нижний колонтитул Знак"/>
    <w:basedOn w:val="a0"/>
    <w:link w:val="ad"/>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workspace</cp:lastModifiedBy>
  <cp:revision>9</cp:revision>
  <cp:lastPrinted>2023-02-22T11:11:00Z</cp:lastPrinted>
  <dcterms:created xsi:type="dcterms:W3CDTF">2023-02-21T07:43:00Z</dcterms:created>
  <dcterms:modified xsi:type="dcterms:W3CDTF">2023-11-22T12:54:00Z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