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4E" w:rsidRPr="00C87278" w:rsidRDefault="006C4513" w:rsidP="001C7E96">
      <w:pPr>
        <w:shd w:val="clear" w:color="auto" w:fill="FFFFFF"/>
        <w:spacing w:after="0"/>
        <w:jc w:val="right"/>
        <w:rPr>
          <w:rFonts w:ascii="Arial" w:hAnsi="Arial" w:cs="Arial"/>
          <w:i/>
          <w:sz w:val="28"/>
          <w:szCs w:val="28"/>
          <w:lang w:val="uk-UA"/>
        </w:rPr>
      </w:pPr>
      <w:r w:rsidRPr="00C87278">
        <w:rPr>
          <w:rFonts w:ascii="Arial" w:hAnsi="Arial" w:cs="Arial"/>
          <w:i/>
          <w:sz w:val="28"/>
          <w:szCs w:val="28"/>
          <w:lang w:val="uk-UA"/>
        </w:rPr>
        <w:t xml:space="preserve">Виступ </w:t>
      </w:r>
      <w:r w:rsidR="00763304" w:rsidRPr="00C87278">
        <w:rPr>
          <w:rFonts w:ascii="Arial" w:hAnsi="Arial" w:cs="Arial"/>
          <w:i/>
          <w:sz w:val="28"/>
          <w:szCs w:val="28"/>
          <w:lang w:val="uk-UA"/>
        </w:rPr>
        <w:t>заступника</w:t>
      </w:r>
      <w:r w:rsidRPr="00C87278">
        <w:rPr>
          <w:rFonts w:ascii="Arial" w:hAnsi="Arial" w:cs="Arial"/>
          <w:i/>
          <w:sz w:val="28"/>
          <w:szCs w:val="28"/>
          <w:lang w:val="uk-UA"/>
        </w:rPr>
        <w:t xml:space="preserve"> начальника </w:t>
      </w:r>
    </w:p>
    <w:p w:rsidR="00F35E4E" w:rsidRPr="00C87278" w:rsidRDefault="006C4513" w:rsidP="001C7E96">
      <w:pPr>
        <w:shd w:val="clear" w:color="auto" w:fill="FFFFFF"/>
        <w:spacing w:after="0"/>
        <w:jc w:val="right"/>
        <w:rPr>
          <w:rFonts w:ascii="Arial" w:hAnsi="Arial" w:cs="Arial"/>
          <w:i/>
          <w:sz w:val="28"/>
          <w:szCs w:val="28"/>
          <w:lang w:val="uk-UA"/>
        </w:rPr>
      </w:pPr>
      <w:r w:rsidRPr="00C87278">
        <w:rPr>
          <w:rFonts w:ascii="Arial" w:hAnsi="Arial" w:cs="Arial"/>
          <w:i/>
          <w:sz w:val="28"/>
          <w:szCs w:val="28"/>
          <w:lang w:val="uk-UA"/>
        </w:rPr>
        <w:t xml:space="preserve">Головного управління ДПС  у Житомирській області </w:t>
      </w:r>
    </w:p>
    <w:p w:rsidR="00F35E4E" w:rsidRPr="00C87278" w:rsidRDefault="00763304" w:rsidP="001C7E96">
      <w:pPr>
        <w:shd w:val="clear" w:color="auto" w:fill="FFFFFF"/>
        <w:spacing w:after="0"/>
        <w:jc w:val="right"/>
        <w:rPr>
          <w:rFonts w:ascii="Arial" w:hAnsi="Arial" w:cs="Arial"/>
          <w:i/>
          <w:sz w:val="28"/>
          <w:szCs w:val="28"/>
          <w:lang w:val="uk-UA"/>
        </w:rPr>
      </w:pPr>
      <w:r w:rsidRPr="00C87278">
        <w:rPr>
          <w:rFonts w:ascii="Arial" w:hAnsi="Arial" w:cs="Arial"/>
          <w:i/>
          <w:sz w:val="28"/>
          <w:szCs w:val="28"/>
          <w:lang w:val="uk-UA"/>
        </w:rPr>
        <w:t>Галини Воробей</w:t>
      </w:r>
      <w:r w:rsidR="006C4513" w:rsidRPr="00C87278">
        <w:rPr>
          <w:rFonts w:ascii="Arial" w:hAnsi="Arial" w:cs="Arial"/>
          <w:i/>
          <w:sz w:val="28"/>
          <w:szCs w:val="28"/>
          <w:lang w:val="uk-UA"/>
        </w:rPr>
        <w:t xml:space="preserve"> </w:t>
      </w:r>
    </w:p>
    <w:p w:rsidR="001B59AF" w:rsidRPr="00C87278" w:rsidRDefault="006C4513" w:rsidP="001C7E96">
      <w:pPr>
        <w:shd w:val="clear" w:color="auto" w:fill="FFFFFF"/>
        <w:spacing w:after="0"/>
        <w:jc w:val="right"/>
        <w:rPr>
          <w:rFonts w:ascii="Arial" w:hAnsi="Arial" w:cs="Arial"/>
          <w:i/>
          <w:sz w:val="28"/>
          <w:szCs w:val="28"/>
          <w:lang w:val="uk-UA"/>
        </w:rPr>
      </w:pPr>
      <w:r w:rsidRPr="00C87278">
        <w:rPr>
          <w:rFonts w:ascii="Arial" w:hAnsi="Arial" w:cs="Arial"/>
          <w:i/>
          <w:sz w:val="28"/>
          <w:szCs w:val="28"/>
          <w:lang w:val="uk-UA"/>
        </w:rPr>
        <w:t xml:space="preserve">в Медіацентрі </w:t>
      </w:r>
      <w:r w:rsidR="00EC3DB0" w:rsidRPr="00C87278">
        <w:rPr>
          <w:rFonts w:ascii="Arial" w:hAnsi="Arial" w:cs="Arial"/>
          <w:i/>
          <w:sz w:val="28"/>
          <w:szCs w:val="28"/>
          <w:lang w:val="uk-UA"/>
        </w:rPr>
        <w:t xml:space="preserve">Житомирської </w:t>
      </w:r>
      <w:r w:rsidRPr="00C87278">
        <w:rPr>
          <w:rFonts w:ascii="Arial" w:hAnsi="Arial" w:cs="Arial"/>
          <w:i/>
          <w:sz w:val="28"/>
          <w:szCs w:val="28"/>
          <w:lang w:val="uk-UA"/>
        </w:rPr>
        <w:t>ОВА</w:t>
      </w:r>
    </w:p>
    <w:p w:rsidR="005C7118" w:rsidRPr="00C87278" w:rsidRDefault="003935FD" w:rsidP="001C7E96">
      <w:pPr>
        <w:shd w:val="clear" w:color="auto" w:fill="FFFFFF"/>
        <w:spacing w:after="0"/>
        <w:jc w:val="right"/>
        <w:rPr>
          <w:rFonts w:ascii="Arial" w:hAnsi="Arial" w:cs="Arial"/>
          <w:i/>
          <w:sz w:val="28"/>
          <w:szCs w:val="28"/>
          <w:lang w:val="uk-UA"/>
        </w:rPr>
      </w:pPr>
      <w:r>
        <w:rPr>
          <w:rFonts w:ascii="Arial" w:hAnsi="Arial" w:cs="Arial"/>
          <w:i/>
          <w:sz w:val="28"/>
          <w:szCs w:val="28"/>
          <w:lang w:val="uk-UA"/>
        </w:rPr>
        <w:t>13</w:t>
      </w:r>
      <w:r w:rsidR="005C7118" w:rsidRPr="00C87278">
        <w:rPr>
          <w:rFonts w:ascii="Arial" w:hAnsi="Arial" w:cs="Arial"/>
          <w:i/>
          <w:sz w:val="28"/>
          <w:szCs w:val="28"/>
          <w:lang w:val="uk-UA"/>
        </w:rPr>
        <w:t>.</w:t>
      </w:r>
      <w:r w:rsidR="004E651F" w:rsidRPr="00C87278">
        <w:rPr>
          <w:rFonts w:ascii="Arial" w:hAnsi="Arial" w:cs="Arial"/>
          <w:i/>
          <w:sz w:val="28"/>
          <w:szCs w:val="28"/>
          <w:lang w:val="uk-UA"/>
        </w:rPr>
        <w:t>1</w:t>
      </w:r>
      <w:r>
        <w:rPr>
          <w:rFonts w:ascii="Arial" w:hAnsi="Arial" w:cs="Arial"/>
          <w:i/>
          <w:sz w:val="28"/>
          <w:szCs w:val="28"/>
          <w:lang w:val="uk-UA"/>
        </w:rPr>
        <w:t>1</w:t>
      </w:r>
      <w:bookmarkStart w:id="0" w:name="_GoBack"/>
      <w:bookmarkEnd w:id="0"/>
      <w:r w:rsidR="005C7118" w:rsidRPr="00C87278">
        <w:rPr>
          <w:rFonts w:ascii="Arial" w:hAnsi="Arial" w:cs="Arial"/>
          <w:i/>
          <w:sz w:val="28"/>
          <w:szCs w:val="28"/>
          <w:lang w:val="uk-UA"/>
        </w:rPr>
        <w:t>.2024</w:t>
      </w:r>
    </w:p>
    <w:p w:rsidR="00C87278" w:rsidRPr="00C87278" w:rsidRDefault="00C87278" w:rsidP="00C87278">
      <w:pPr>
        <w:rPr>
          <w:lang w:val="uk-UA"/>
        </w:rPr>
      </w:pPr>
    </w:p>
    <w:p w:rsidR="00C87278" w:rsidRPr="00C87278" w:rsidRDefault="00C87278" w:rsidP="00C87278">
      <w:pPr>
        <w:jc w:val="center"/>
        <w:rPr>
          <w:rFonts w:ascii="Arial" w:hAnsi="Arial" w:cs="Arial"/>
          <w:b/>
          <w:sz w:val="28"/>
          <w:szCs w:val="28"/>
          <w:lang w:val="uk-UA"/>
        </w:rPr>
      </w:pPr>
      <w:r w:rsidRPr="00C87278">
        <w:rPr>
          <w:rFonts w:ascii="Arial" w:hAnsi="Arial" w:cs="Arial"/>
          <w:b/>
          <w:sz w:val="28"/>
          <w:szCs w:val="28"/>
          <w:lang w:val="uk-UA"/>
        </w:rPr>
        <w:t>Ключові аспекти Національної стратегії доходів до 2030 року</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Для реформування податкової та митної політик</w:t>
      </w:r>
      <w:r>
        <w:rPr>
          <w:rFonts w:ascii="Arial" w:hAnsi="Arial" w:cs="Arial"/>
          <w:sz w:val="28"/>
          <w:szCs w:val="28"/>
          <w:lang w:val="uk-UA"/>
        </w:rPr>
        <w:t>и</w:t>
      </w:r>
      <w:r w:rsidRPr="00C87278">
        <w:rPr>
          <w:rFonts w:ascii="Arial" w:hAnsi="Arial" w:cs="Arial"/>
          <w:sz w:val="28"/>
          <w:szCs w:val="28"/>
          <w:lang w:val="uk-UA"/>
        </w:rPr>
        <w:t xml:space="preserve"> і перегляду процесів їх адміністрування у грудні 2023 року Уряд затвердив Національну стратегію доходів до 2030 року (далі – НСД), </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 xml:space="preserve">НСД – це дорожня карта реформування податкової служби, яка буде реалізовуватись поетапно. Вона розрахована на 6 років, </w:t>
      </w:r>
      <w:r w:rsidR="00D81B56">
        <w:rPr>
          <w:rFonts w:ascii="Arial" w:hAnsi="Arial" w:cs="Arial"/>
          <w:sz w:val="28"/>
          <w:szCs w:val="28"/>
          <w:lang w:val="uk-UA"/>
        </w:rPr>
        <w:t xml:space="preserve">і </w:t>
      </w:r>
      <w:r w:rsidRPr="00C87278">
        <w:rPr>
          <w:rFonts w:ascii="Arial" w:hAnsi="Arial" w:cs="Arial"/>
          <w:sz w:val="28"/>
          <w:szCs w:val="28"/>
          <w:lang w:val="uk-UA"/>
        </w:rPr>
        <w:t xml:space="preserve">реформи будуть впроваджуватися поступово до 2030 року. </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 xml:space="preserve">Пріоритетні заходи </w:t>
      </w:r>
      <w:r w:rsidR="00D81B56">
        <w:rPr>
          <w:rFonts w:ascii="Arial" w:hAnsi="Arial" w:cs="Arial"/>
          <w:sz w:val="28"/>
          <w:szCs w:val="28"/>
          <w:lang w:val="uk-UA"/>
        </w:rPr>
        <w:t xml:space="preserve">стратегії </w:t>
      </w:r>
      <w:r w:rsidRPr="00C87278">
        <w:rPr>
          <w:rFonts w:ascii="Arial" w:hAnsi="Arial" w:cs="Arial"/>
          <w:sz w:val="28"/>
          <w:szCs w:val="28"/>
          <w:lang w:val="uk-UA"/>
        </w:rPr>
        <w:t xml:space="preserve"> спрямовані на модернізацію податкового адміністрування та створення умов для справедливої податкової політики, що сприятиме підвищенню ефективності управління державними доходами. Стратегія є баченням майбутньої системи доходів, яка надає чіткості та передбачуваності всім учасникам податкового процесу.</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Національну стратегію доходів до 2030 року розроблено з метою забезпечення макроекономічної та фінансової стабільності у період воєнного стану і після його припинення, удосконалення процесів податкового та митного адміністрування, адаптації національного податкового і митного законодавства України до законодавства ЄС. Основні положення Національної стратегії узгоджені з МВФ, враховують міжнародну практику оподаткування, євроінтеграційні процеси, рекомендації Світового банку та ОЕСР.</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 xml:space="preserve">Державна податкова служба України прийняла рішення про проведення масштабної інформаційної кампанії. </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Її мета роз’яснити платникам податків основні положення Національної стратегії доходів до 2030 року   та забезпечити їхню активну участь у процесі реформ.</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Заходи ДПС із впровадження НСД у 2024 – 2025 роках, зокрема передбачають:</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lastRenderedPageBreak/>
        <w:t xml:space="preserve">Проведення моніторингу звітів про підзвітні рахунки за Загальним стандартом звітності (CRS), отриманих від держав-партнерів; </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здійснення аналізу  отриманої інформації про підзвітні рахунки податкових резидентів України з метою виявлення ймовірно прихованих фінансових активів останніх та вжиття відповідних заходів податкового контролю.</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Здійснення контролю за поданням платниками податків – резидентами України (підзвітними фінансовим установами) звітів про підзвітні рахунки за Загальним стандартом звітності (CRS):</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здійснення заходів щодо виявлення підзвітних фінансових установ, які не подали звіти про підзвітні рахунки або подали їх із порушенням визначених строків, та відповідних заходів податкового контролю.</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Удосконалення процедури стягнення коштів із банківських рахунків боржників шляхом налагодження інформаційної взаємодії ДПС із Держказначейством та банками щодо направлення електронних платіжних інструкцій (інкасових доручень) на примусове списання (стягнення) коштів із рахунків платника у банках:</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законодавче запровадження механізму електронної взаємодії при стягненні  коштів із рахунків боржників за платіжними інструкціями, сформованими в електронній формі.</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Автоматизація процесів погашення податкового боргу – впровадження підсистеми «Робота з боргом» ІКС ДПС.</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 xml:space="preserve">Запровадження регулярного вивчення оцінки якості надання послуг та виявлення проблемних питань, що виникають у діяльності ДПС, шляхом опитування платників податків, оприлюднення його результатів та публічне звітування про вжиті заходи. Підтримання </w:t>
      </w:r>
      <w:proofErr w:type="spellStart"/>
      <w:r w:rsidRPr="00C87278">
        <w:rPr>
          <w:rFonts w:ascii="Arial" w:hAnsi="Arial" w:cs="Arial"/>
          <w:sz w:val="28"/>
          <w:szCs w:val="28"/>
          <w:lang w:val="uk-UA"/>
        </w:rPr>
        <w:t>зворотнього</w:t>
      </w:r>
      <w:proofErr w:type="spellEnd"/>
      <w:r w:rsidRPr="00C87278">
        <w:rPr>
          <w:rFonts w:ascii="Arial" w:hAnsi="Arial" w:cs="Arial"/>
          <w:sz w:val="28"/>
          <w:szCs w:val="28"/>
          <w:lang w:val="uk-UA"/>
        </w:rPr>
        <w:t xml:space="preserve"> зв’язку із зацікавленими сторонами щодо удосконалення процесів адміністрування.</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Забезпечення прозорого обміну інформацією з членами Глобального форуму ОЕСР:</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отримання позитивної оцінки Глобального форуму ОЕСР щодо зрілості системи управління інформаційною безпекою.</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Впровадження процедур Е-аудиту.</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lastRenderedPageBreak/>
        <w:t>Запровадження обміну звітами у розрізі країн міжнародних груп компаній:</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налагодження ефективного процесу обміну податковою інформацією з іноземними компетентними органами (далі – ІКО) для оцінки ризиків, трансфертного ціноутворення та інших ризиків, пов’язаних із розмиванням податкової бази та виведенням прибутку з-під оподаткування.</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Розробка ІКС «Обмін інформацією з іноземними компетентними органами»:</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удосконалення та прискорення процесів обміну інформацією з ІКО та підвищення ефективності такого обміну, зниження впливу «людського фактор</w:t>
      </w:r>
      <w:r w:rsidR="001A201A">
        <w:rPr>
          <w:rFonts w:ascii="Arial" w:hAnsi="Arial" w:cs="Arial"/>
          <w:sz w:val="28"/>
          <w:szCs w:val="28"/>
          <w:lang w:val="uk-UA"/>
        </w:rPr>
        <w:t>у</w:t>
      </w:r>
      <w:r w:rsidRPr="00C87278">
        <w:rPr>
          <w:rFonts w:ascii="Arial" w:hAnsi="Arial" w:cs="Arial"/>
          <w:sz w:val="28"/>
          <w:szCs w:val="28"/>
          <w:lang w:val="uk-UA"/>
        </w:rPr>
        <w:t>» на процеси обміну податковою інформацією, забезпечення дотримання конфіденційності інформації.</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Впровадження ІКС «Автоматизована система роботи з великими масивами даних для проведення аналізу ризиків з трансфертного ціноутворення»:</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автоматизація процедури податкового контролю за встановленням відповідності умов контрольованих операцій принципу «витягнутої руки» тощо.</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 xml:space="preserve">Для </w:t>
      </w:r>
      <w:r>
        <w:rPr>
          <w:rFonts w:ascii="Arial" w:hAnsi="Arial" w:cs="Arial"/>
          <w:sz w:val="28"/>
          <w:szCs w:val="28"/>
          <w:lang w:val="uk-UA"/>
        </w:rPr>
        <w:t xml:space="preserve">ознайомлення з </w:t>
      </w:r>
      <w:r w:rsidRPr="00C87278">
        <w:rPr>
          <w:rFonts w:ascii="Arial" w:hAnsi="Arial" w:cs="Arial"/>
          <w:sz w:val="28"/>
          <w:szCs w:val="28"/>
          <w:lang w:val="uk-UA"/>
        </w:rPr>
        <w:t>інформ</w:t>
      </w:r>
      <w:r w:rsidR="00F56A19">
        <w:rPr>
          <w:rFonts w:ascii="Arial" w:hAnsi="Arial" w:cs="Arial"/>
          <w:sz w:val="28"/>
          <w:szCs w:val="28"/>
          <w:lang w:val="uk-UA"/>
        </w:rPr>
        <w:t xml:space="preserve">аційними матеріалами для </w:t>
      </w:r>
      <w:r w:rsidRPr="00C87278">
        <w:rPr>
          <w:rFonts w:ascii="Arial" w:hAnsi="Arial" w:cs="Arial"/>
          <w:sz w:val="28"/>
          <w:szCs w:val="28"/>
          <w:lang w:val="uk-UA"/>
        </w:rPr>
        <w:t xml:space="preserve">платників податків на </w:t>
      </w:r>
      <w:proofErr w:type="spellStart"/>
      <w:r w:rsidRPr="00C87278">
        <w:rPr>
          <w:rFonts w:ascii="Arial" w:hAnsi="Arial" w:cs="Arial"/>
          <w:sz w:val="28"/>
          <w:szCs w:val="28"/>
          <w:lang w:val="uk-UA"/>
        </w:rPr>
        <w:t>вебпорталі</w:t>
      </w:r>
      <w:proofErr w:type="spellEnd"/>
      <w:r w:rsidRPr="00C87278">
        <w:rPr>
          <w:rFonts w:ascii="Arial" w:hAnsi="Arial" w:cs="Arial"/>
          <w:sz w:val="28"/>
          <w:szCs w:val="28"/>
          <w:lang w:val="uk-UA"/>
        </w:rPr>
        <w:t xml:space="preserve"> ДПС у розділі «Діяльність» створено рубрику «Національна стратегія доходів»</w:t>
      </w:r>
      <w:r w:rsidR="00F56A19">
        <w:rPr>
          <w:rFonts w:ascii="Arial" w:hAnsi="Arial" w:cs="Arial"/>
          <w:sz w:val="28"/>
          <w:szCs w:val="28"/>
          <w:lang w:val="uk-UA"/>
        </w:rPr>
        <w:t>, де ви можете переглянути</w:t>
      </w:r>
      <w:r w:rsidRPr="00C87278">
        <w:rPr>
          <w:rFonts w:ascii="Arial" w:hAnsi="Arial" w:cs="Arial"/>
          <w:sz w:val="28"/>
          <w:szCs w:val="28"/>
          <w:lang w:val="uk-UA"/>
        </w:rPr>
        <w:t xml:space="preserve">: </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Національн</w:t>
      </w:r>
      <w:r w:rsidR="00F56A19">
        <w:rPr>
          <w:rFonts w:ascii="Arial" w:hAnsi="Arial" w:cs="Arial"/>
          <w:sz w:val="28"/>
          <w:szCs w:val="28"/>
          <w:lang w:val="uk-UA"/>
        </w:rPr>
        <w:t>у</w:t>
      </w:r>
      <w:r w:rsidRPr="00C87278">
        <w:rPr>
          <w:rFonts w:ascii="Arial" w:hAnsi="Arial" w:cs="Arial"/>
          <w:sz w:val="28"/>
          <w:szCs w:val="28"/>
          <w:lang w:val="uk-UA"/>
        </w:rPr>
        <w:t xml:space="preserve"> стратегі</w:t>
      </w:r>
      <w:r w:rsidR="00F56A19">
        <w:rPr>
          <w:rFonts w:ascii="Arial" w:hAnsi="Arial" w:cs="Arial"/>
          <w:sz w:val="28"/>
          <w:szCs w:val="28"/>
          <w:lang w:val="uk-UA"/>
        </w:rPr>
        <w:t>ю</w:t>
      </w:r>
      <w:r w:rsidRPr="00C87278">
        <w:rPr>
          <w:rFonts w:ascii="Arial" w:hAnsi="Arial" w:cs="Arial"/>
          <w:sz w:val="28"/>
          <w:szCs w:val="28"/>
          <w:lang w:val="uk-UA"/>
        </w:rPr>
        <w:t xml:space="preserve"> доходів (перехід на сайт Міністерства фінансів України);</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презентаційн</w:t>
      </w:r>
      <w:r w:rsidR="00F56A19">
        <w:rPr>
          <w:rFonts w:ascii="Arial" w:hAnsi="Arial" w:cs="Arial"/>
          <w:sz w:val="28"/>
          <w:szCs w:val="28"/>
          <w:lang w:val="uk-UA"/>
        </w:rPr>
        <w:t>і</w:t>
      </w:r>
      <w:r w:rsidRPr="00C87278">
        <w:rPr>
          <w:rFonts w:ascii="Arial" w:hAnsi="Arial" w:cs="Arial"/>
          <w:sz w:val="28"/>
          <w:szCs w:val="28"/>
          <w:lang w:val="uk-UA"/>
        </w:rPr>
        <w:t xml:space="preserve"> матеріал</w:t>
      </w:r>
      <w:r w:rsidR="00F56A19">
        <w:rPr>
          <w:rFonts w:ascii="Arial" w:hAnsi="Arial" w:cs="Arial"/>
          <w:sz w:val="28"/>
          <w:szCs w:val="28"/>
          <w:lang w:val="uk-UA"/>
        </w:rPr>
        <w:t>и</w:t>
      </w:r>
      <w:r w:rsidRPr="00C87278">
        <w:rPr>
          <w:rFonts w:ascii="Arial" w:hAnsi="Arial" w:cs="Arial"/>
          <w:sz w:val="28"/>
          <w:szCs w:val="28"/>
          <w:lang w:val="uk-UA"/>
        </w:rPr>
        <w:t>;</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спільн</w:t>
      </w:r>
      <w:r w:rsidR="00F56A19">
        <w:rPr>
          <w:rFonts w:ascii="Arial" w:hAnsi="Arial" w:cs="Arial"/>
          <w:sz w:val="28"/>
          <w:szCs w:val="28"/>
          <w:lang w:val="uk-UA"/>
        </w:rPr>
        <w:t>і</w:t>
      </w:r>
      <w:r w:rsidRPr="00C87278">
        <w:rPr>
          <w:rFonts w:ascii="Arial" w:hAnsi="Arial" w:cs="Arial"/>
          <w:sz w:val="28"/>
          <w:szCs w:val="28"/>
          <w:lang w:val="uk-UA"/>
        </w:rPr>
        <w:t xml:space="preserve"> прес-реліз</w:t>
      </w:r>
      <w:r w:rsidR="00F56A19">
        <w:rPr>
          <w:rFonts w:ascii="Arial" w:hAnsi="Arial" w:cs="Arial"/>
          <w:sz w:val="28"/>
          <w:szCs w:val="28"/>
          <w:lang w:val="uk-UA"/>
        </w:rPr>
        <w:t>и</w:t>
      </w:r>
      <w:r w:rsidRPr="00C87278">
        <w:rPr>
          <w:rFonts w:ascii="Arial" w:hAnsi="Arial" w:cs="Arial"/>
          <w:sz w:val="28"/>
          <w:szCs w:val="28"/>
          <w:lang w:val="uk-UA"/>
        </w:rPr>
        <w:t xml:space="preserve"> Міністерства фінансів України та ДПС;</w:t>
      </w:r>
    </w:p>
    <w:p w:rsidR="00C87278" w:rsidRPr="00C87278" w:rsidRDefault="00C87278" w:rsidP="00C87278">
      <w:pPr>
        <w:jc w:val="both"/>
        <w:rPr>
          <w:rFonts w:ascii="Arial" w:hAnsi="Arial" w:cs="Arial"/>
          <w:sz w:val="28"/>
          <w:szCs w:val="28"/>
          <w:lang w:val="uk-UA"/>
        </w:rPr>
      </w:pPr>
      <w:r w:rsidRPr="00C87278">
        <w:rPr>
          <w:rFonts w:ascii="Arial" w:hAnsi="Arial" w:cs="Arial"/>
          <w:sz w:val="28"/>
          <w:szCs w:val="28"/>
          <w:lang w:val="uk-UA"/>
        </w:rPr>
        <w:t>інформаційн</w:t>
      </w:r>
      <w:r w:rsidR="00F56A19">
        <w:rPr>
          <w:rFonts w:ascii="Arial" w:hAnsi="Arial" w:cs="Arial"/>
          <w:sz w:val="28"/>
          <w:szCs w:val="28"/>
          <w:lang w:val="uk-UA"/>
        </w:rPr>
        <w:t>і</w:t>
      </w:r>
      <w:r w:rsidRPr="00C87278">
        <w:rPr>
          <w:rFonts w:ascii="Arial" w:hAnsi="Arial" w:cs="Arial"/>
          <w:sz w:val="28"/>
          <w:szCs w:val="28"/>
          <w:lang w:val="uk-UA"/>
        </w:rPr>
        <w:t xml:space="preserve"> повідомлен</w:t>
      </w:r>
      <w:r w:rsidR="00F56A19">
        <w:rPr>
          <w:rFonts w:ascii="Arial" w:hAnsi="Arial" w:cs="Arial"/>
          <w:sz w:val="28"/>
          <w:szCs w:val="28"/>
          <w:lang w:val="uk-UA"/>
        </w:rPr>
        <w:t>ня</w:t>
      </w:r>
      <w:r w:rsidRPr="00C87278">
        <w:rPr>
          <w:rFonts w:ascii="Arial" w:hAnsi="Arial" w:cs="Arial"/>
          <w:sz w:val="28"/>
          <w:szCs w:val="28"/>
          <w:lang w:val="uk-UA"/>
        </w:rPr>
        <w:t xml:space="preserve"> ДПС щодо реалізації НСД;</w:t>
      </w:r>
    </w:p>
    <w:p w:rsidR="00BA2FE3" w:rsidRPr="00C87278" w:rsidRDefault="00C87278" w:rsidP="00C87278">
      <w:pPr>
        <w:shd w:val="clear" w:color="auto" w:fill="FFFFFF"/>
        <w:spacing w:after="0"/>
        <w:jc w:val="both"/>
        <w:rPr>
          <w:rFonts w:ascii="Arial" w:hAnsi="Arial" w:cs="Arial"/>
          <w:i/>
          <w:sz w:val="28"/>
          <w:szCs w:val="28"/>
          <w:lang w:val="uk-UA"/>
        </w:rPr>
      </w:pPr>
      <w:r w:rsidRPr="00C87278">
        <w:rPr>
          <w:rFonts w:ascii="Arial" w:hAnsi="Arial" w:cs="Arial"/>
          <w:sz w:val="28"/>
          <w:szCs w:val="28"/>
          <w:lang w:val="uk-UA"/>
        </w:rPr>
        <w:t>інших матеріалів</w:t>
      </w:r>
      <w:r w:rsidR="00F56A19">
        <w:rPr>
          <w:rFonts w:ascii="Arial" w:hAnsi="Arial" w:cs="Arial"/>
          <w:sz w:val="28"/>
          <w:szCs w:val="28"/>
          <w:lang w:val="uk-UA"/>
        </w:rPr>
        <w:t>.</w:t>
      </w:r>
    </w:p>
    <w:sectPr w:rsidR="00BA2FE3" w:rsidRPr="00C87278" w:rsidSect="005D6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CF"/>
    <w:rsid w:val="000409BE"/>
    <w:rsid w:val="00042003"/>
    <w:rsid w:val="0004431F"/>
    <w:rsid w:val="00080A86"/>
    <w:rsid w:val="000C0211"/>
    <w:rsid w:val="000F062C"/>
    <w:rsid w:val="00102A08"/>
    <w:rsid w:val="001171A8"/>
    <w:rsid w:val="00124C4B"/>
    <w:rsid w:val="001665B9"/>
    <w:rsid w:val="001805B4"/>
    <w:rsid w:val="001A201A"/>
    <w:rsid w:val="001B59AF"/>
    <w:rsid w:val="001C7E96"/>
    <w:rsid w:val="001D25D0"/>
    <w:rsid w:val="001E030B"/>
    <w:rsid w:val="002248E0"/>
    <w:rsid w:val="002741D7"/>
    <w:rsid w:val="0028152B"/>
    <w:rsid w:val="002974DC"/>
    <w:rsid w:val="002B6B18"/>
    <w:rsid w:val="003425CF"/>
    <w:rsid w:val="003935FD"/>
    <w:rsid w:val="003A26DE"/>
    <w:rsid w:val="003D0E27"/>
    <w:rsid w:val="00417664"/>
    <w:rsid w:val="004E3761"/>
    <w:rsid w:val="004E651F"/>
    <w:rsid w:val="004F0DF9"/>
    <w:rsid w:val="004F5130"/>
    <w:rsid w:val="00532965"/>
    <w:rsid w:val="00547F4E"/>
    <w:rsid w:val="005A07DA"/>
    <w:rsid w:val="005C7118"/>
    <w:rsid w:val="005D64A7"/>
    <w:rsid w:val="0061589C"/>
    <w:rsid w:val="006211A6"/>
    <w:rsid w:val="00627294"/>
    <w:rsid w:val="006408CB"/>
    <w:rsid w:val="00682FCC"/>
    <w:rsid w:val="00686FAA"/>
    <w:rsid w:val="006A3FA2"/>
    <w:rsid w:val="006C4513"/>
    <w:rsid w:val="00763304"/>
    <w:rsid w:val="007958E3"/>
    <w:rsid w:val="007A5AA0"/>
    <w:rsid w:val="007B7A34"/>
    <w:rsid w:val="007C20BA"/>
    <w:rsid w:val="007C7FA6"/>
    <w:rsid w:val="00831317"/>
    <w:rsid w:val="00840E61"/>
    <w:rsid w:val="00856026"/>
    <w:rsid w:val="008E1340"/>
    <w:rsid w:val="008E26BA"/>
    <w:rsid w:val="00994B9E"/>
    <w:rsid w:val="009D4E8B"/>
    <w:rsid w:val="009E02CD"/>
    <w:rsid w:val="00A044BC"/>
    <w:rsid w:val="00A23EA5"/>
    <w:rsid w:val="00A446D0"/>
    <w:rsid w:val="00A705B3"/>
    <w:rsid w:val="00A813C6"/>
    <w:rsid w:val="00A83EAB"/>
    <w:rsid w:val="00A84C59"/>
    <w:rsid w:val="00B400D0"/>
    <w:rsid w:val="00B67A1E"/>
    <w:rsid w:val="00B879ED"/>
    <w:rsid w:val="00BA1D3B"/>
    <w:rsid w:val="00BA2FE3"/>
    <w:rsid w:val="00BB5C9A"/>
    <w:rsid w:val="00C87278"/>
    <w:rsid w:val="00C9463D"/>
    <w:rsid w:val="00CA1473"/>
    <w:rsid w:val="00D727C0"/>
    <w:rsid w:val="00D81B56"/>
    <w:rsid w:val="00DA7E4E"/>
    <w:rsid w:val="00E0592E"/>
    <w:rsid w:val="00E45969"/>
    <w:rsid w:val="00E63FAA"/>
    <w:rsid w:val="00E86866"/>
    <w:rsid w:val="00EA048E"/>
    <w:rsid w:val="00EC3DB0"/>
    <w:rsid w:val="00EE217C"/>
    <w:rsid w:val="00EE2CE2"/>
    <w:rsid w:val="00F02511"/>
    <w:rsid w:val="00F35E4E"/>
    <w:rsid w:val="00F43C06"/>
    <w:rsid w:val="00F55BF0"/>
    <w:rsid w:val="00F56A19"/>
    <w:rsid w:val="00F73A68"/>
    <w:rsid w:val="00FC2952"/>
    <w:rsid w:val="00FF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41316-D515-42B1-9F1E-D4CAA639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4A7"/>
  </w:style>
  <w:style w:type="paragraph" w:styleId="1">
    <w:name w:val="heading 1"/>
    <w:basedOn w:val="a"/>
    <w:link w:val="10"/>
    <w:uiPriority w:val="9"/>
    <w:qFormat/>
    <w:rsid w:val="003425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425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25CF"/>
    <w:rPr>
      <w:rFonts w:ascii="Times New Roman" w:eastAsia="Times New Roman" w:hAnsi="Times New Roman" w:cs="Times New Roman"/>
      <w:b/>
      <w:bCs/>
      <w:kern w:val="36"/>
      <w:sz w:val="48"/>
      <w:szCs w:val="48"/>
    </w:rPr>
  </w:style>
  <w:style w:type="paragraph" w:styleId="a3">
    <w:name w:val="Normal (Web)"/>
    <w:basedOn w:val="a"/>
    <w:uiPriority w:val="99"/>
    <w:unhideWhenUsed/>
    <w:rsid w:val="003425C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42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25CF"/>
    <w:rPr>
      <w:rFonts w:ascii="Tahoma" w:hAnsi="Tahoma" w:cs="Tahoma"/>
      <w:sz w:val="16"/>
      <w:szCs w:val="16"/>
    </w:rPr>
  </w:style>
  <w:style w:type="character" w:customStyle="1" w:styleId="30">
    <w:name w:val="Заголовок 3 Знак"/>
    <w:basedOn w:val="a0"/>
    <w:link w:val="3"/>
    <w:uiPriority w:val="9"/>
    <w:semiHidden/>
    <w:rsid w:val="003425CF"/>
    <w:rPr>
      <w:rFonts w:asciiTheme="majorHAnsi" w:eastAsiaTheme="majorEastAsia" w:hAnsiTheme="majorHAnsi" w:cstheme="majorBidi"/>
      <w:b/>
      <w:bCs/>
      <w:color w:val="4F81BD" w:themeColor="accent1"/>
    </w:rPr>
  </w:style>
  <w:style w:type="table" w:styleId="a6">
    <w:name w:val="Table Grid"/>
    <w:basedOn w:val="a1"/>
    <w:uiPriority w:val="59"/>
    <w:rsid w:val="00342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нак Знак Знак1 Знак"/>
    <w:basedOn w:val="a"/>
    <w:rsid w:val="00DA7E4E"/>
    <w:pPr>
      <w:spacing w:after="0" w:line="240" w:lineRule="auto"/>
      <w:ind w:firstLine="720"/>
    </w:pPr>
    <w:rPr>
      <w:rFonts w:ascii="Verdana" w:eastAsia="Calibri" w:hAnsi="Verdana" w:cs="Verdana"/>
      <w:sz w:val="20"/>
      <w:szCs w:val="20"/>
      <w:lang w:val="en-US" w:eastAsia="en-US"/>
    </w:rPr>
  </w:style>
  <w:style w:type="character" w:styleId="a7">
    <w:name w:val="Hyperlink"/>
    <w:basedOn w:val="a0"/>
    <w:uiPriority w:val="99"/>
    <w:semiHidden/>
    <w:unhideWhenUsed/>
    <w:rsid w:val="001C7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8875044">
      <w:bodyDiv w:val="1"/>
      <w:marLeft w:val="0"/>
      <w:marRight w:val="0"/>
      <w:marTop w:val="0"/>
      <w:marBottom w:val="0"/>
      <w:divBdr>
        <w:top w:val="none" w:sz="0" w:space="0" w:color="auto"/>
        <w:left w:val="none" w:sz="0" w:space="0" w:color="auto"/>
        <w:bottom w:val="none" w:sz="0" w:space="0" w:color="auto"/>
        <w:right w:val="none" w:sz="0" w:space="0" w:color="auto"/>
      </w:divBdr>
    </w:div>
    <w:div w:id="1141996412">
      <w:bodyDiv w:val="1"/>
      <w:marLeft w:val="0"/>
      <w:marRight w:val="0"/>
      <w:marTop w:val="0"/>
      <w:marBottom w:val="0"/>
      <w:divBdr>
        <w:top w:val="none" w:sz="0" w:space="0" w:color="auto"/>
        <w:left w:val="none" w:sz="0" w:space="0" w:color="auto"/>
        <w:bottom w:val="none" w:sz="0" w:space="0" w:color="auto"/>
        <w:right w:val="none" w:sz="0" w:space="0" w:color="auto"/>
      </w:divBdr>
    </w:div>
    <w:div w:id="1258366874">
      <w:bodyDiv w:val="1"/>
      <w:marLeft w:val="0"/>
      <w:marRight w:val="0"/>
      <w:marTop w:val="0"/>
      <w:marBottom w:val="0"/>
      <w:divBdr>
        <w:top w:val="none" w:sz="0" w:space="0" w:color="auto"/>
        <w:left w:val="none" w:sz="0" w:space="0" w:color="auto"/>
        <w:bottom w:val="none" w:sz="0" w:space="0" w:color="auto"/>
        <w:right w:val="none" w:sz="0" w:space="0" w:color="auto"/>
      </w:divBdr>
      <w:divsChild>
        <w:div w:id="1676103294">
          <w:marLeft w:val="0"/>
          <w:marRight w:val="0"/>
          <w:marTop w:val="0"/>
          <w:marBottom w:val="450"/>
          <w:divBdr>
            <w:top w:val="none" w:sz="0" w:space="0" w:color="auto"/>
            <w:left w:val="none" w:sz="0" w:space="0" w:color="auto"/>
            <w:bottom w:val="none" w:sz="0" w:space="0" w:color="auto"/>
            <w:right w:val="none" w:sz="0" w:space="0" w:color="auto"/>
          </w:divBdr>
          <w:divsChild>
            <w:div w:id="8262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6946">
      <w:bodyDiv w:val="1"/>
      <w:marLeft w:val="0"/>
      <w:marRight w:val="0"/>
      <w:marTop w:val="0"/>
      <w:marBottom w:val="0"/>
      <w:divBdr>
        <w:top w:val="none" w:sz="0" w:space="0" w:color="auto"/>
        <w:left w:val="none" w:sz="0" w:space="0" w:color="auto"/>
        <w:bottom w:val="none" w:sz="0" w:space="0" w:color="auto"/>
        <w:right w:val="none" w:sz="0" w:space="0" w:color="auto"/>
      </w:divBdr>
    </w:div>
    <w:div w:id="1991321072">
      <w:bodyDiv w:val="1"/>
      <w:marLeft w:val="0"/>
      <w:marRight w:val="0"/>
      <w:marTop w:val="0"/>
      <w:marBottom w:val="0"/>
      <w:divBdr>
        <w:top w:val="none" w:sz="0" w:space="0" w:color="auto"/>
        <w:left w:val="none" w:sz="0" w:space="0" w:color="auto"/>
        <w:bottom w:val="none" w:sz="0" w:space="0" w:color="auto"/>
        <w:right w:val="none" w:sz="0" w:space="0" w:color="auto"/>
      </w:divBdr>
      <w:divsChild>
        <w:div w:id="1682704081">
          <w:marLeft w:val="-161"/>
          <w:marRight w:val="-161"/>
          <w:marTop w:val="0"/>
          <w:marBottom w:val="0"/>
          <w:divBdr>
            <w:top w:val="none" w:sz="0" w:space="0" w:color="auto"/>
            <w:left w:val="none" w:sz="0" w:space="0" w:color="auto"/>
            <w:bottom w:val="none" w:sz="0" w:space="0" w:color="auto"/>
            <w:right w:val="none" w:sz="0" w:space="0" w:color="auto"/>
          </w:divBdr>
          <w:divsChild>
            <w:div w:id="1374498537">
              <w:marLeft w:val="0"/>
              <w:marRight w:val="0"/>
              <w:marTop w:val="0"/>
              <w:marBottom w:val="0"/>
              <w:divBdr>
                <w:top w:val="none" w:sz="0" w:space="0" w:color="auto"/>
                <w:left w:val="none" w:sz="0" w:space="0" w:color="auto"/>
                <w:bottom w:val="none" w:sz="0" w:space="0" w:color="auto"/>
                <w:right w:val="none" w:sz="0" w:space="0" w:color="auto"/>
              </w:divBdr>
            </w:div>
            <w:div w:id="11050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3110</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Корнійчук Алла Михайлівна</cp:lastModifiedBy>
  <cp:revision>5</cp:revision>
  <cp:lastPrinted>2024-10-03T11:04:00Z</cp:lastPrinted>
  <dcterms:created xsi:type="dcterms:W3CDTF">2024-10-03T11:01:00Z</dcterms:created>
  <dcterms:modified xsi:type="dcterms:W3CDTF">2024-11-13T11:10:00Z</dcterms:modified>
</cp:coreProperties>
</file>